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省级通过免税资格认定的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非营利组织名单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楷体_GB2312" w:hAnsi="楷体_GB2312" w:eastAsia="楷体_GB2312" w:cs="楷体_GB2312"/>
          <w:snapToGrid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snapToGrid w:val="0"/>
          <w:sz w:val="32"/>
          <w:szCs w:val="32"/>
        </w:rPr>
        <w:t>（免税资格有效期为20</w:t>
      </w:r>
      <w:r>
        <w:rPr>
          <w:rFonts w:hint="eastAsia" w:ascii="楷体_GB2312" w:hAnsi="楷体_GB2312" w:eastAsia="楷体_GB2312" w:cs="楷体_GB2312"/>
          <w:snapToGrid w:val="0"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napToGrid w:val="0"/>
          <w:sz w:val="32"/>
          <w:szCs w:val="32"/>
        </w:rPr>
        <w:t>至202</w:t>
      </w:r>
      <w:r>
        <w:rPr>
          <w:rFonts w:hint="eastAsia" w:ascii="楷体_GB2312" w:hAnsi="楷体_GB2312" w:eastAsia="楷体_GB2312" w:cs="楷体_GB2312"/>
          <w:snapToGrid w:val="0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napToGrid w:val="0"/>
          <w:sz w:val="32"/>
          <w:szCs w:val="32"/>
        </w:rPr>
        <w:t>年）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1.贵州医科大学教育发展基金会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2.贵州省农业生产资料流通协会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3.贵州省满帮公益基金会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4.贵州省春雨公益之家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5.贵州同净缘生命科学基金会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6.贵州省黔诚公益联合会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7.贵州省圣哲民族文化和经济发展基金会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8.贵州明彻助学中心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9.贵州三力公益基金会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10.贵州省爱心公益书画院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11.贵州省水泥工业协会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12.贵州省医院建设行业协会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13.贵州省大数据发展促进会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14.贵州省保险学会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15.贵州省为爱黔行公益服务中心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16.贵州盛华职业学院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17.贵州省公路学会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18.贵州省小额贷款公司协会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19.贵州省税务学会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20.贵州省企业创新促进会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21.贵州省绿茶品牌发展促进会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22.贵州省中西医结合学会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23.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贵州山水公益基金会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roman"/>
    <w:pitch w:val="default"/>
    <w:sig w:usb0="00000287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C1AEC"/>
    <w:rsid w:val="1DBC1A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  <w:rPr>
      <w:color w:val="00000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4">
    <w:name w:val="Body Text"/>
    <w:basedOn w:val="1"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2021-11-02T06:14:00Z</dcterms:created>
  <dc:creator>赵相霖</dc:creator>
  <cp:lastModifiedBy>赵相霖</cp:lastModifiedBy>
  <dcterms:modified xsi:type="dcterms:W3CDTF">2021-11-02T06:15:37Z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