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rPr>
          <w:rFonts w:hint="eastAsia" w:ascii="Calibri" w:hAnsi="Calibri" w:eastAsia="宋体" w:cs="Times New Roman"/>
          <w:kern w:val="0"/>
          <w:sz w:val="44"/>
          <w:szCs w:val="44"/>
          <w:lang w:val="en-US" w:eastAsia="zh-CN" w:bidi="ar-SA"/>
        </w:rPr>
      </w:pPr>
    </w:p>
    <w:p>
      <w:pPr>
        <w:ind w:firstLine="1760" w:firstLineChars="400"/>
        <w:rPr>
          <w:rFonts w:hint="eastAsia" w:ascii="黑体" w:hAnsi="黑体" w:eastAsia="黑体" w:cs="黑体"/>
          <w:kern w:val="0"/>
          <w:sz w:val="44"/>
          <w:szCs w:val="44"/>
          <w:lang w:val="en-US" w:eastAsia="zh-CN" w:bidi="ar-SA"/>
        </w:rPr>
      </w:pPr>
      <w:r>
        <w:rPr>
          <w:rFonts w:hint="eastAsia" w:ascii="黑体" w:hAnsi="黑体" w:eastAsia="黑体" w:cs="黑体"/>
          <w:kern w:val="0"/>
          <w:sz w:val="44"/>
          <w:szCs w:val="44"/>
          <w:lang w:val="en-US" w:eastAsia="zh-CN" w:bidi="ar-SA"/>
        </w:rPr>
        <w:t>个人所得税扣缴业务指南</w:t>
      </w:r>
    </w:p>
    <w:p>
      <w:pPr>
        <w:ind w:firstLine="1760" w:firstLineChars="400"/>
        <w:rPr>
          <w:rFonts w:hint="eastAsia" w:ascii="黑体" w:hAnsi="黑体" w:eastAsia="黑体" w:cs="黑体"/>
          <w:kern w:val="0"/>
          <w:sz w:val="44"/>
          <w:szCs w:val="44"/>
          <w:lang w:val="en-US" w:eastAsia="zh-CN" w:bidi="ar-SA"/>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一、扣缴义务范围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扣缴义务人，是指向个人支付所得的单位或者个人。</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（一）扣缴义务人向个人支付下列所得时，应办理个人所得税全员全额扣缴申报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1、工资、薪金所得；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2、劳务报酬所得；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3、稿酬所得；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4、特许权使用费所得；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5、利息、股息、红利所得；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6、财产租赁所得；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7、财产转让所得；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8、偶然所得。</w:t>
      </w:r>
    </w:p>
    <w:p>
      <w:pPr>
        <w:rPr>
          <w:rFonts w:hint="eastAsia" w:ascii="仿宋" w:hAnsi="仿宋" w:eastAsia="仿宋" w:cs="仿宋"/>
          <w:sz w:val="32"/>
          <w:szCs w:val="32"/>
        </w:rPr>
      </w:pP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（二）特殊情况的扣缴义务人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1、个人股权转让所得个人所得税，以受让方为扣缴义务人。以被投资企业所在地税务机关为主管税务机关。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2、限售股转让所得个人所得税，以个人股东开户的证券机构为扣缴义务人，以证券机构所在地税务机关为主管税务机关。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3、个人领取年金时，由年金托管人代扣代缴个人所得税。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4、个人财产拍卖所得应纳的个人所得税税款，由拍卖单位负责代扣代缴，并按规定向拍卖单位所在地主管税务机关办理纳税申报。</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二、扣缴义务人的义务</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（一）办理个人所得税全员全额扣缴申报</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1、全员全额扣缴明细申报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员全额扣缴明细申报，是指扣缴义务人应当在代扣税款的次月十五日内，向主管税务机关报送其支付所得的所有个人（包括无需缴纳个人所得税的个人）的有关信息、支付所得数额、扣除事项和数额、扣缴税款的具体数额和总额以及其他相关涉税信息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扣缴义务人应按照规定，在工资、薪金所得按月预扣预缴税款时，依据居民个人提供的专项附加扣除信息，办理税前扣除。</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纳税人在取得应税所得时向扣缴义务人提出需要享受税收协定待遇的，并提交相关信息、资料，扣缴义务人代扣代缴税款时按照享受税收协定待遇有关办法办理。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扣缴义务人对纳税人向其报告的相关基础信息变化情况，应当于次月扣缴申报时向税务机关报送。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扣缴义务人发现纳税人提供的信息与实际情况不符的，可以要求纳税人修改。纳税人拒绝修改的，扣缴义务人应当报告税务机关。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纳税人拒绝扣缴义务人依法履行代扣代缴义务的，扣缴义务人应当及时报告税务机关。</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2、汇总申报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上市公司向股东分红，扣缴申报利息、股息、红利个人所得税时，可以选择汇总申报方式。</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（二）向纳税人提供扣缴信息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支付工资、薪金所得的扣缴义务人应当于年度终了后两个月内，向纳税人提供其个人所得和已扣缴税款等信息。纳税人年度中间需要提供上述信息的，扣缴义务人应当提供。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支付工资、薪金所得以外其他所得的扣缴义务人，应当在扣缴税款后，及时向纳税人提供其个人所得和已扣缴税款等信息。</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三、税款计算</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（一）工资、薪金所得</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1、居民纳税人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扣缴义务人向居民个人支付工资、薪金所得时，应当按照累计预扣法计算预扣税款，并按月办理扣缴申报。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累计预扣法，是指扣缴义务人在一个纳税年度内预扣预缴税款时，以纳税人在本单位截至当前月份工资、薪金所得累计收入减除累计免税收入、累计减除费用、累计专项扣除、累计专项附加扣除和累计依法确定的其他扣除后的余额为累计预扣预缴应纳税所得额，适用个人所得税预扣率表一（见附件），计算累计应预扣预缴税额，再减除累计减免税额和累计已预扣预缴税额，其余额为本期应预扣预缴税额。余额为负值时，暂不退税。纳税年度终了后余额仍为负值时，由纳税人通过办理综合所得年度汇算清缴，税款多退少补。</w:t>
      </w:r>
    </w:p>
    <w:p>
      <w:pPr>
        <w:rPr>
          <w:rFonts w:hint="eastAsia" w:ascii="仿宋" w:hAnsi="仿宋" w:eastAsia="仿宋" w:cs="仿宋"/>
          <w:sz w:val="32"/>
          <w:szCs w:val="32"/>
        </w:rPr>
      </w:pPr>
      <w:r>
        <w:rPr>
          <w:rFonts w:hint="eastAsia" w:ascii="仿宋" w:hAnsi="仿宋" w:eastAsia="仿宋" w:cs="仿宋"/>
          <w:sz w:val="32"/>
          <w:szCs w:val="32"/>
        </w:rPr>
        <w:t>具体计算公式如下：</w:t>
      </w:r>
    </w:p>
    <w:p>
      <w:pPr>
        <w:rPr>
          <w:rFonts w:hint="eastAsia" w:ascii="仿宋" w:hAnsi="仿宋" w:eastAsia="仿宋" w:cs="仿宋"/>
          <w:sz w:val="32"/>
          <w:szCs w:val="32"/>
        </w:rPr>
      </w:pPr>
      <w:r>
        <w:rPr>
          <w:rFonts w:hint="eastAsia" w:ascii="仿宋" w:hAnsi="仿宋" w:eastAsia="仿宋" w:cs="仿宋"/>
          <w:sz w:val="32"/>
          <w:szCs w:val="32"/>
        </w:rPr>
        <w:t>本期应预扣预缴税额=（累计预扣预缴应纳税所得额×预扣率-速算扣除数)-累计减免税额-累计已预扣预缴税额</w:t>
      </w:r>
    </w:p>
    <w:p>
      <w:pPr>
        <w:rPr>
          <w:rFonts w:hint="eastAsia" w:ascii="仿宋" w:hAnsi="仿宋" w:eastAsia="仿宋" w:cs="仿宋"/>
          <w:sz w:val="32"/>
          <w:szCs w:val="32"/>
        </w:rPr>
      </w:pPr>
      <w:r>
        <w:rPr>
          <w:rFonts w:hint="eastAsia" w:ascii="仿宋" w:hAnsi="仿宋" w:eastAsia="仿宋" w:cs="仿宋"/>
          <w:sz w:val="32"/>
          <w:szCs w:val="32"/>
        </w:rPr>
        <w:t>累计预扣预缴应纳税所得额=累计收入-累计免税收入-累计减除费用-累计专项扣除-累计专项附加扣除-累计依法确定的其他扣除</w:t>
      </w:r>
    </w:p>
    <w:p>
      <w:pPr>
        <w:rPr>
          <w:rFonts w:hint="eastAsia" w:ascii="仿宋" w:hAnsi="仿宋" w:eastAsia="仿宋" w:cs="仿宋"/>
          <w:sz w:val="32"/>
          <w:szCs w:val="32"/>
        </w:rPr>
      </w:pPr>
      <w:r>
        <w:rPr>
          <w:rFonts w:hint="eastAsia" w:ascii="仿宋" w:hAnsi="仿宋" w:eastAsia="仿宋" w:cs="仿宋"/>
          <w:sz w:val="32"/>
          <w:szCs w:val="32"/>
        </w:rPr>
        <w:t>其中：累计减除费用，按照5000元/月乘以纳税人当年截至本月在本单位的任职受雇月份数计算。</w:t>
      </w:r>
    </w:p>
    <w:p>
      <w:pPr>
        <w:rPr>
          <w:rFonts w:hint="eastAsia" w:ascii="仿宋" w:hAnsi="仿宋" w:eastAsia="仿宋" w:cs="仿宋"/>
          <w:color w:val="auto"/>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w:t>
      </w:r>
      <w:r>
        <w:rPr>
          <w:rFonts w:hint="eastAsia" w:ascii="黑体" w:hAnsi="黑体" w:eastAsia="黑体" w:cs="黑体"/>
          <w:color w:val="auto"/>
          <w:sz w:val="32"/>
          <w:szCs w:val="32"/>
        </w:rPr>
        <w:t xml:space="preserve"> （1）全年一次性奖金</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居民个人取得全年一次性奖金，符合《国家税务总局关于调整个人取得全年一次性奖金等计算征收个人所得税方法问题的通知》（国税发〔2005〕9号）规定的，在2021年12月31日前，不并入当年综合所得，以全年一次性奖金收入除以12个月得到的数额，按照《财政部 税务总局关于个人所得税法修改后有关优惠政策衔接问题的通知》（财税〔2018〕164号 ）（以下简称164号文）所附按月换算后的综合所得税率表（以下简称月度税率表），确定适用税率和速算扣除数，单独计算纳税。计算公式为：</w:t>
      </w:r>
    </w:p>
    <w:p>
      <w:pPr>
        <w:rPr>
          <w:rFonts w:hint="eastAsia" w:ascii="仿宋" w:hAnsi="仿宋" w:eastAsia="仿宋" w:cs="仿宋"/>
          <w:color w:val="auto"/>
          <w:sz w:val="32"/>
          <w:szCs w:val="32"/>
        </w:rPr>
      </w:pPr>
      <w:r>
        <w:rPr>
          <w:rFonts w:hint="eastAsia" w:ascii="仿宋" w:hAnsi="仿宋" w:eastAsia="仿宋" w:cs="仿宋"/>
          <w:color w:val="auto"/>
          <w:sz w:val="32"/>
          <w:szCs w:val="32"/>
        </w:rPr>
        <w:t>　　应纳税额＝全年一次性奖金收入×适用税率－速算扣除数</w:t>
      </w:r>
    </w:p>
    <w:p>
      <w:pPr>
        <w:rPr>
          <w:rFonts w:hint="eastAsia" w:ascii="仿宋" w:hAnsi="仿宋" w:eastAsia="仿宋" w:cs="仿宋"/>
          <w:color w:val="auto"/>
          <w:sz w:val="32"/>
          <w:szCs w:val="32"/>
        </w:rPr>
      </w:pPr>
      <w:r>
        <w:rPr>
          <w:rFonts w:hint="eastAsia" w:ascii="仿宋" w:hAnsi="仿宋" w:eastAsia="仿宋" w:cs="仿宋"/>
          <w:color w:val="auto"/>
          <w:sz w:val="32"/>
          <w:szCs w:val="32"/>
        </w:rPr>
        <w:t>　　居民个人取得全年一次性奖金，也可以选择并入当年综合所得计算纳税。</w:t>
      </w:r>
    </w:p>
    <w:p>
      <w:pPr>
        <w:rPr>
          <w:rFonts w:hint="eastAsia" w:ascii="仿宋" w:hAnsi="仿宋" w:eastAsia="仿宋" w:cs="仿宋"/>
          <w:color w:val="auto"/>
          <w:sz w:val="32"/>
          <w:szCs w:val="32"/>
        </w:rPr>
      </w:pPr>
      <w:r>
        <w:rPr>
          <w:rFonts w:hint="eastAsia" w:ascii="仿宋" w:hAnsi="仿宋" w:eastAsia="仿宋" w:cs="仿宋"/>
          <w:color w:val="auto"/>
          <w:sz w:val="32"/>
          <w:szCs w:val="32"/>
        </w:rPr>
        <w:t>自2022年1月1日起，居民个人取得全年一次性奖金，应并入当年综合所得计算缴纳个人所得税。</w:t>
      </w:r>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（2）中央企业负责人年度绩效薪金延期兑现收入和任期奖励</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中央企业负责人取得年度绩效薪金延期兑现收入和任期奖励，符合《国家税务总局关于中央企业负责人年度绩效薪金延期兑现收入和任期奖励征收个人所得税问题的通知》（国税发〔2007〕118号）规定的，在2021年12月31日前，参照全年一次性奖金执行；2022年1月1日之后的政策另行明确。</w:t>
      </w:r>
    </w:p>
    <w:p>
      <w:pPr>
        <w:ind w:firstLine="321" w:firstLineChars="100"/>
        <w:rPr>
          <w:rFonts w:hint="eastAsia" w:ascii="仿宋" w:hAnsi="仿宋" w:eastAsia="仿宋" w:cs="仿宋"/>
          <w:b/>
          <w:bCs/>
          <w:color w:val="auto"/>
          <w:sz w:val="32"/>
          <w:szCs w:val="32"/>
        </w:rPr>
      </w:pPr>
      <w:r>
        <w:rPr>
          <w:rFonts w:hint="eastAsia" w:ascii="仿宋" w:hAnsi="仿宋" w:eastAsia="仿宋" w:cs="仿宋"/>
          <w:b/>
          <w:bCs/>
          <w:color w:val="auto"/>
          <w:sz w:val="32"/>
          <w:szCs w:val="32"/>
        </w:rPr>
        <w:t>（3）上市公司股权激励</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居民个人取得股票期权、股票增值权、限制性股票、股权奖励等股权激励（以下简称股权激励），符合《财政部 国家税务总局关于个人股票期权所得征收个人所得税问题的通知》（财税〔2005〕35号）、《财政部国家税务总局关于股票增值权所得和限制性股票所得征收个人所得税有关问题的通知》（财税〔2009〕5号）、《财政部 国家税务总局关于将国家自主创新示范区有关税收试点政策推广到全国范围实施的通知》（财税〔2015〕116号）第四条、《财政部国家税务总局关于完善股权激励和技术入股有关所得税政策的通知》（财税〔2016〕101号）第四条第（一）项规定的相关条件的，在2021年12月31日前，不并入当年综合所得，全额单独适用综合所得税率表，计算纳税。计算公式为：</w:t>
      </w:r>
    </w:p>
    <w:p>
      <w:pPr>
        <w:rPr>
          <w:rFonts w:hint="eastAsia" w:ascii="仿宋" w:hAnsi="仿宋" w:eastAsia="仿宋" w:cs="仿宋"/>
          <w:color w:val="auto"/>
          <w:sz w:val="32"/>
          <w:szCs w:val="32"/>
        </w:rPr>
      </w:pPr>
      <w:r>
        <w:rPr>
          <w:rFonts w:hint="eastAsia" w:ascii="仿宋" w:hAnsi="仿宋" w:eastAsia="仿宋" w:cs="仿宋"/>
          <w:color w:val="auto"/>
          <w:sz w:val="32"/>
          <w:szCs w:val="32"/>
        </w:rPr>
        <w:t>　　应纳税额＝股权激励收入×适用税率－速算扣除数</w:t>
      </w:r>
    </w:p>
    <w:p>
      <w:pPr>
        <w:rPr>
          <w:rFonts w:hint="eastAsia" w:ascii="仿宋" w:hAnsi="仿宋" w:eastAsia="仿宋" w:cs="仿宋"/>
          <w:color w:val="auto"/>
          <w:sz w:val="32"/>
          <w:szCs w:val="32"/>
        </w:rPr>
      </w:pPr>
      <w:r>
        <w:rPr>
          <w:rFonts w:hint="eastAsia" w:ascii="仿宋" w:hAnsi="仿宋" w:eastAsia="仿宋" w:cs="仿宋"/>
          <w:color w:val="auto"/>
          <w:sz w:val="32"/>
          <w:szCs w:val="32"/>
        </w:rPr>
        <w:t>　　居民个人一个纳税年度内取得两次以上（含两次）股权激励的，应合并按上述规定计算纳税。</w:t>
      </w:r>
    </w:p>
    <w:p>
      <w:pPr>
        <w:rPr>
          <w:rFonts w:hint="eastAsia" w:ascii="仿宋" w:hAnsi="仿宋" w:eastAsia="仿宋" w:cs="仿宋"/>
          <w:color w:val="auto"/>
          <w:sz w:val="32"/>
          <w:szCs w:val="32"/>
        </w:rPr>
      </w:pPr>
      <w:r>
        <w:rPr>
          <w:rFonts w:hint="eastAsia" w:ascii="仿宋" w:hAnsi="仿宋" w:eastAsia="仿宋" w:cs="仿宋"/>
          <w:color w:val="auto"/>
          <w:sz w:val="32"/>
          <w:szCs w:val="32"/>
        </w:rPr>
        <w:t>　　2022年1月1日之后的股权激励政策另行明确。</w:t>
      </w:r>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（4）个人领取企业年金、职业年金</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个人达到国家规定的退休年龄，领取的企业年金、职业年金，符合《财政部 人力资源社会保障部 国家税务总局关于企业年金 职业年金个人所得税有关问题的通知》（财税〔2013〕103号）规定的，不并入综合所得，全额单独计算应纳税款。其中按月领取的，适用月度税率表计算纳税；按季领取的，平均分摊计入各月，按每月领取额适用月度税率表计算纳税；按年领取的，适用综合所得税率表计算纳税。</w:t>
      </w:r>
    </w:p>
    <w:p>
      <w:pPr>
        <w:rPr>
          <w:rFonts w:hint="eastAsia" w:ascii="仿宋" w:hAnsi="仿宋" w:eastAsia="仿宋" w:cs="仿宋"/>
          <w:color w:val="auto"/>
          <w:sz w:val="32"/>
          <w:szCs w:val="32"/>
        </w:rPr>
      </w:pPr>
      <w:r>
        <w:rPr>
          <w:rFonts w:hint="eastAsia" w:ascii="仿宋" w:hAnsi="仿宋" w:eastAsia="仿宋" w:cs="仿宋"/>
          <w:color w:val="auto"/>
          <w:sz w:val="32"/>
          <w:szCs w:val="32"/>
        </w:rPr>
        <w:t>　　个人因出境定居而一次性领取的年金个人账户资金，或个人死亡后，其指定的受益人或法定继承人一次性领取的年金个人账户余额，适用综合所得税率表计算纳税。对个人除上述特殊原因外一次性领取年金个人账户资金或余额的，适用月度税率表计算纳税。</w:t>
      </w:r>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（5）解除劳动关系的一次性补偿收入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个人与用人单位解除劳动关系取得一次性补偿收入（包括用人单位发放的经济补偿金、生活补助费和其他补助费），在当地上年职工平均工资3倍数额以内的部分，免征个人所得税；超过3倍数额的部分，不并入当年综合所得，单独适用综合所得税率表，计算纳税。</w:t>
      </w:r>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（6）提前退休的一次性补偿收入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个人办理提前退休手续而取得的一次性补贴收入，应按照办理提前退休手续至法定离退休年龄之间实际年度数平均分摊，确定适用税率和速算扣除数，单独适用综合所得税率表，计算纳税。计算公式：</w:t>
      </w:r>
    </w:p>
    <w:p>
      <w:pPr>
        <w:rPr>
          <w:rFonts w:hint="eastAsia" w:ascii="仿宋" w:hAnsi="仿宋" w:eastAsia="仿宋" w:cs="仿宋"/>
          <w:color w:val="auto"/>
          <w:sz w:val="32"/>
          <w:szCs w:val="32"/>
        </w:rPr>
      </w:pPr>
      <w:r>
        <w:rPr>
          <w:rFonts w:hint="eastAsia" w:ascii="仿宋" w:hAnsi="仿宋" w:eastAsia="仿宋" w:cs="仿宋"/>
          <w:color w:val="auto"/>
          <w:sz w:val="32"/>
          <w:szCs w:val="32"/>
        </w:rPr>
        <w:t>　　应纳税额={〔（一次性补贴收入÷办理提前退休手续至法定退休年龄的实际年度数）－费用扣除标准〕×适用税率－速算扣除数}×办理提前退休手续至法定退休年龄的实际年度数</w:t>
      </w:r>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（7）内部退养的一次性补偿收入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个人在办理内部退养手续后从原任职单位取得的一次性收入，应按办理内部退养手续后至法定离退休年龄之间的所属月份进行平均，并与领取当月的“工资、薪金”所得合并后减除当月费用扣除标准，以余额为基数确定适用税率，再将当月工资、薪金加上取得的一次性收入，减去费用扣除标准，按适用税率计征个人所得税。</w:t>
      </w:r>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（8）关于单位低价向职工售房的政策</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单位按低于购置或建造成本价格出售住房给职工，职工因此而少支出的差价部分，符合《财政部 国家税务总局关于单位低价向职工售房有关个人所得税问题的通知》（财税〔2007〕13号）第二条规定的，不并入当年综合所得，以差价收入除以12个月得到的数额，按照月度税率表确定适用税率和速算扣除数，单独计算纳税。计算公式为：</w:t>
      </w:r>
    </w:p>
    <w:p>
      <w:pPr>
        <w:rPr>
          <w:rFonts w:hint="eastAsia" w:ascii="仿宋" w:hAnsi="仿宋" w:eastAsia="仿宋" w:cs="仿宋"/>
          <w:color w:val="auto"/>
          <w:sz w:val="32"/>
          <w:szCs w:val="32"/>
        </w:rPr>
      </w:pPr>
      <w:r>
        <w:rPr>
          <w:rFonts w:hint="eastAsia" w:ascii="仿宋" w:hAnsi="仿宋" w:eastAsia="仿宋" w:cs="仿宋"/>
          <w:color w:val="auto"/>
          <w:sz w:val="32"/>
          <w:szCs w:val="32"/>
        </w:rPr>
        <w:t>应纳税额＝职工实际支付的购房价款低于该房屋的购置或建造成本价格的差额×适用税率－速算扣除数</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2、非居民纳税人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非居民个人的工资、薪金所得，以每月收入额减除费用五千元后的余额为应纳税所得额；适用个人所得税税率表三（见附件）计算应纳税额。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非居民个人在一个纳税年度内税款扣缴方法保持不变，达到居民个人条件时，应当告知扣缴义务人基础信息变化情况，年度终了后按照居民个人有关规定办理汇算清缴。</w:t>
      </w:r>
    </w:p>
    <w:p>
      <w:pPr>
        <w:rPr>
          <w:rFonts w:hint="eastAsia" w:ascii="仿宋" w:hAnsi="仿宋" w:eastAsia="仿宋" w:cs="仿宋"/>
          <w:sz w:val="32"/>
          <w:szCs w:val="32"/>
        </w:rPr>
      </w:pPr>
      <w:r>
        <w:rPr>
          <w:rFonts w:hint="eastAsia" w:ascii="楷体" w:hAnsi="楷体" w:eastAsia="楷体" w:cs="楷体"/>
          <w:b/>
          <w:bCs/>
          <w:sz w:val="32"/>
          <w:szCs w:val="32"/>
        </w:rPr>
        <w:t>（二）劳务报酬所得、稿酬所得、特许权使用费所得</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1、居民纳税人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扣缴义务人向居民个人支付劳务报酬所得、稿酬所得、特许权使用费所得时，应当按照以下方法按次或者按月预扣预缴税款：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劳务报酬所得、稿酬所得、特许权使用费所得以收入减除费用后的余额为收入额；其中，稿酬所得的收入额减按百分之七十计算。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减除费用：预扣预缴税款时，劳务报酬所得、稿酬所得、特许权使用费所得每次收入不超过四千元的，减除费用按八百元计算；每次收入四千元以上的，减除费用按收入的百分之二十计算。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纳税所得额：劳务报酬所得、稿酬所得、特许权使用费所得，以每次收入额为预扣预缴应纳税所得额，计算应预扣预缴税额。劳务报酬所得适用个人所得税预扣率表二（见附件），稿酬所得、特许权使用费所得适用百分之二十的比例预扣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居民个人办理年度综合所得汇算清缴时，应当依法计算劳务报酬所得、稿酬所得、特许权使用费所得的收入额，并入年度综合所得计算应纳税款，税款多退少补。</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特殊情况：</w:t>
      </w:r>
      <w:r>
        <w:rPr>
          <w:rFonts w:hint="eastAsia" w:ascii="仿宋" w:hAnsi="仿宋" w:eastAsia="仿宋" w:cs="仿宋"/>
          <w:sz w:val="32"/>
          <w:szCs w:val="32"/>
        </w:rPr>
        <w:t>保险营销员、证券经纪人佣金收入计算</w:t>
      </w:r>
    </w:p>
    <w:p>
      <w:pPr>
        <w:rPr>
          <w:rFonts w:hint="eastAsia" w:ascii="仿宋" w:hAnsi="仿宋" w:eastAsia="仿宋" w:cs="仿宋"/>
          <w:sz w:val="32"/>
          <w:szCs w:val="32"/>
        </w:rPr>
      </w:pPr>
      <w:r>
        <w:rPr>
          <w:rFonts w:hint="eastAsia" w:ascii="仿宋" w:hAnsi="仿宋" w:eastAsia="仿宋" w:cs="仿宋"/>
          <w:sz w:val="32"/>
          <w:szCs w:val="32"/>
        </w:rPr>
        <w:t>保险营销员、证券经纪人取得的佣金收入，属于劳务报酬所得，以不含增值税的收入减除20%的费用后的余额为收入额，收入额减去展业成本以及附加税费后，并入当年综合所得，计算缴纳个人所得税。保险营销员、证券经纪人展业成本按照收入额的25%计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扣缴义务人向保险营销员、证券经纪人支付佣金收入时，应按照累计预扣法计算预扣税款。（见居民纳税人工资、薪金所得计算方法）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2、非居民纳税人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扣缴义务人向非居民个人支付劳务报酬所得，稿酬所得和特许权使用费所得时，应当按照以下方法按月或者按次代扣代缴税款：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劳务报酬所得、稿酬所得、特许权使用费所得，以每次收入额为应纳税所得额，适用个人所得税税率表三（见附件）计算应纳税额。劳务报酬所得、稿酬所得、特许权使用费所得以收入减除百分之二十的费用后的余额为收入额；其中，稿酬所得的收入额减按百分之七十计算。</w:t>
      </w:r>
    </w:p>
    <w:p>
      <w:pPr>
        <w:rPr>
          <w:rFonts w:hint="eastAsia" w:ascii="仿宋" w:hAnsi="仿宋" w:eastAsia="仿宋" w:cs="仿宋"/>
          <w:sz w:val="32"/>
          <w:szCs w:val="32"/>
        </w:rPr>
      </w:pPr>
      <w:r>
        <w:rPr>
          <w:rFonts w:hint="eastAsia" w:ascii="仿宋" w:hAnsi="仿宋" w:eastAsia="仿宋" w:cs="仿宋"/>
          <w:sz w:val="32"/>
          <w:szCs w:val="32"/>
        </w:rPr>
        <w:t>非居民个人达到居民个人条件时，年度终了后按照居民个人有关规定办理汇算清缴。</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（三）利息、股息、红利所得，财产租赁所得，财产转让所得、偶然所得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扣缴义务人支付利息、股息、红利所得，财产租赁所得，财产转让所得或者偶然所得时，应当依法按次或者按月代扣代缴税款。计算公式如下：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本期应扣缴税额=应纳税所得额×税率</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（四）支付所得的计税时间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劳务报酬所得、稿酬所得、特许权使用费所得，属于一次性收入的，以取得该项收入为一次；属于同一项目连续性收入的，以一个月内取得的收入为一次。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财产租赁所得，以一个月内取得的收入为一次。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利息、股息、红利所得，以支付利息、股息、红利时取得的收入为一次。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偶然所得，以每次取得该项收入为一次。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四、申报时间和申报方式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扣缴义务人每月或者每次预扣、代扣的税款，应当在次月十五日内缴入国库，并向税务机关报送《个人所得税扣缴申报表》。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扣缴申报方式包括上门申报（税务机关征收大厅）和网上申报（下载登录自然人税收管理系统扣缴客户端）</w:t>
      </w:r>
    </w:p>
    <w:p>
      <w:pPr>
        <w:numPr>
          <w:ilvl w:val="0"/>
          <w:numId w:val="1"/>
        </w:num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申报流程和报送资料</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【办理渠道】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1．办税服务厅（场所）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2．自然人税收管理系统扣缴客户端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【受理部门】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办税服务厅（场所）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【办事流程】</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drawing>
          <wp:inline distT="0" distB="0" distL="0" distR="0">
            <wp:extent cx="4391025" cy="3571875"/>
            <wp:effectExtent l="0" t="0" r="9525" b="9525"/>
            <wp:docPr id="1" name="图片 1" descr="wpsD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DA1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391025" cy="3571875"/>
                    </a:xfrm>
                    <a:prstGeom prst="rect">
                      <a:avLst/>
                    </a:prstGeom>
                    <a:noFill/>
                    <a:ln>
                      <a:noFill/>
                    </a:ln>
                  </pic:spPr>
                </pic:pic>
              </a:graphicData>
            </a:graphic>
          </wp:inline>
        </w:drawing>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【报送资料】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1．首次申报或基础信息发生变化时，应报送：</w:t>
      </w:r>
    </w:p>
    <w:tbl>
      <w:tblPr>
        <w:tblStyle w:val="4"/>
        <w:tblW w:w="7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序号</w:t>
            </w:r>
          </w:p>
        </w:tc>
        <w:tc>
          <w:tcPr>
            <w:tcW w:w="4253" w:type="dxa"/>
            <w:tcBorders>
              <w:top w:val="single" w:color="auto" w:sz="4" w:space="0"/>
              <w:left w:val="nil"/>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材料名称</w:t>
            </w:r>
          </w:p>
        </w:tc>
        <w:tc>
          <w:tcPr>
            <w:tcW w:w="708" w:type="dxa"/>
            <w:tcBorders>
              <w:top w:val="single" w:color="auto" w:sz="4" w:space="0"/>
              <w:left w:val="nil"/>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数量</w:t>
            </w:r>
          </w:p>
        </w:tc>
        <w:tc>
          <w:tcPr>
            <w:tcW w:w="2268" w:type="dxa"/>
            <w:tcBorders>
              <w:top w:val="single" w:color="auto" w:sz="4" w:space="0"/>
              <w:left w:val="nil"/>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1</w:t>
            </w:r>
          </w:p>
        </w:tc>
        <w:tc>
          <w:tcPr>
            <w:tcW w:w="4253"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rPr>
                <w:rFonts w:ascii="黑体" w:hAnsi="黑体" w:eastAsia="黑体" w:cs="Microsoft Himalaya"/>
                <w:kern w:val="2"/>
                <w:sz w:val="18"/>
                <w:szCs w:val="18"/>
              </w:rPr>
            </w:pPr>
            <w:r>
              <w:rPr>
                <w:rFonts w:hint="eastAsia" w:ascii="黑体" w:hAnsi="黑体" w:eastAsia="黑体" w:cs="Microsoft Himalaya"/>
                <w:kern w:val="2"/>
                <w:sz w:val="18"/>
                <w:szCs w:val="18"/>
              </w:rPr>
              <w:t>《个人所得税基础信息表（A表）》</w:t>
            </w:r>
          </w:p>
        </w:tc>
        <w:tc>
          <w:tcPr>
            <w:tcW w:w="70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cs="Microsoft Himalaya"/>
                <w:kern w:val="2"/>
                <w:sz w:val="18"/>
                <w:szCs w:val="18"/>
              </w:rPr>
            </w:pPr>
            <w:r>
              <w:rPr>
                <w:rFonts w:hint="eastAsia" w:ascii="黑体" w:hAnsi="黑体" w:eastAsia="黑体" w:cs="Microsoft Himalaya"/>
                <w:kern w:val="2"/>
                <w:sz w:val="18"/>
                <w:szCs w:val="18"/>
              </w:rPr>
              <w:t>2份</w:t>
            </w:r>
          </w:p>
        </w:tc>
        <w:tc>
          <w:tcPr>
            <w:tcW w:w="226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line="320" w:lineRule="exact"/>
              <w:rPr>
                <w:rFonts w:ascii="黑体" w:hAnsi="黑体" w:eastAsia="黑体" w:cs="Microsoft Himalaya"/>
                <w:kern w:val="2"/>
                <w:sz w:val="18"/>
                <w:szCs w:val="18"/>
              </w:rPr>
            </w:pPr>
          </w:p>
        </w:tc>
      </w:tr>
    </w:tbl>
    <w:p>
      <w:pPr>
        <w:ind w:firstLine="640" w:firstLineChars="200"/>
        <w:rPr>
          <w:rFonts w:hint="eastAsia" w:ascii="仿宋" w:hAnsi="仿宋" w:eastAsia="仿宋" w:cs="仿宋"/>
          <w:sz w:val="32"/>
          <w:szCs w:val="32"/>
        </w:rPr>
      </w:pPr>
      <w:r>
        <w:rPr>
          <w:rFonts w:hint="eastAsia" w:ascii="仿宋" w:hAnsi="仿宋" w:eastAsia="仿宋" w:cs="仿宋"/>
          <w:sz w:val="32"/>
          <w:szCs w:val="32"/>
        </w:rPr>
        <w:t>2．扣缴义务人办理扣缴个人所得税申报时，应报送：</w:t>
      </w:r>
    </w:p>
    <w:tbl>
      <w:tblPr>
        <w:tblStyle w:val="4"/>
        <w:tblW w:w="7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序号</w:t>
            </w:r>
          </w:p>
        </w:tc>
        <w:tc>
          <w:tcPr>
            <w:tcW w:w="4253" w:type="dxa"/>
            <w:tcBorders>
              <w:top w:val="single" w:color="auto" w:sz="4" w:space="0"/>
              <w:left w:val="nil"/>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材料名称</w:t>
            </w:r>
          </w:p>
        </w:tc>
        <w:tc>
          <w:tcPr>
            <w:tcW w:w="708" w:type="dxa"/>
            <w:tcBorders>
              <w:top w:val="single" w:color="auto" w:sz="4" w:space="0"/>
              <w:left w:val="nil"/>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数量</w:t>
            </w:r>
          </w:p>
        </w:tc>
        <w:tc>
          <w:tcPr>
            <w:tcW w:w="2268" w:type="dxa"/>
            <w:tcBorders>
              <w:top w:val="single" w:color="auto" w:sz="4" w:space="0"/>
              <w:left w:val="nil"/>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1</w:t>
            </w:r>
          </w:p>
        </w:tc>
        <w:tc>
          <w:tcPr>
            <w:tcW w:w="4253"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rPr>
                <w:rFonts w:ascii="黑体" w:hAnsi="黑体" w:eastAsia="黑体" w:cs="Microsoft Himalaya"/>
                <w:kern w:val="2"/>
                <w:sz w:val="18"/>
                <w:szCs w:val="18"/>
              </w:rPr>
            </w:pPr>
            <w:r>
              <w:rPr>
                <w:rFonts w:hint="eastAsia" w:ascii="黑体" w:hAnsi="黑体" w:eastAsia="黑体" w:cs="Microsoft Himalaya"/>
                <w:kern w:val="2"/>
                <w:sz w:val="18"/>
                <w:szCs w:val="18"/>
              </w:rPr>
              <w:t>《扣缴个人所得税报告表》</w:t>
            </w:r>
          </w:p>
        </w:tc>
        <w:tc>
          <w:tcPr>
            <w:tcW w:w="70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cs="Microsoft Himalaya"/>
                <w:kern w:val="2"/>
                <w:sz w:val="18"/>
                <w:szCs w:val="18"/>
              </w:rPr>
            </w:pPr>
            <w:r>
              <w:rPr>
                <w:rFonts w:hint="eastAsia" w:ascii="黑体" w:hAnsi="黑体" w:eastAsia="黑体" w:cs="Microsoft Himalaya"/>
                <w:kern w:val="2"/>
                <w:sz w:val="18"/>
                <w:szCs w:val="18"/>
              </w:rPr>
              <w:t>2份</w:t>
            </w:r>
          </w:p>
        </w:tc>
        <w:tc>
          <w:tcPr>
            <w:tcW w:w="226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line="320" w:lineRule="exact"/>
              <w:rPr>
                <w:rFonts w:ascii="黑体" w:hAnsi="黑体" w:eastAsia="黑体" w:cs="Microsoft Himalaya"/>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100" w:beforeAutospacing="1"/>
              <w:jc w:val="center"/>
              <w:rPr>
                <w:rFonts w:hint="eastAsia" w:ascii="黑体" w:hAnsi="黑体" w:eastAsia="黑体"/>
                <w:color w:val="auto"/>
                <w:kern w:val="2"/>
                <w:highlight w:val="none"/>
              </w:rPr>
            </w:pPr>
            <w:r>
              <w:rPr>
                <w:rFonts w:hint="eastAsia" w:ascii="黑体" w:hAnsi="黑体" w:eastAsia="黑体"/>
                <w:color w:val="auto"/>
                <w:kern w:val="2"/>
                <w:highlight w:val="none"/>
              </w:rPr>
              <w:t>2</w:t>
            </w:r>
          </w:p>
        </w:tc>
        <w:tc>
          <w:tcPr>
            <w:tcW w:w="4253"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rPr>
                <w:rFonts w:hint="eastAsia" w:ascii="黑体" w:hAnsi="黑体" w:eastAsia="黑体" w:cs="Microsoft Himalaya"/>
                <w:color w:val="auto"/>
                <w:kern w:val="2"/>
                <w:sz w:val="18"/>
                <w:szCs w:val="18"/>
                <w:highlight w:val="none"/>
              </w:rPr>
            </w:pPr>
            <w:r>
              <w:rPr>
                <w:rFonts w:hint="eastAsia" w:ascii="黑体" w:hAnsi="黑体" w:eastAsia="黑体" w:cs="Microsoft Himalaya"/>
                <w:color w:val="auto"/>
                <w:kern w:val="2"/>
                <w:sz w:val="18"/>
                <w:szCs w:val="18"/>
                <w:highlight w:val="none"/>
              </w:rPr>
              <w:t>《专项附加扣除信息表》</w:t>
            </w:r>
          </w:p>
        </w:tc>
        <w:tc>
          <w:tcPr>
            <w:tcW w:w="70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jc w:val="center"/>
              <w:rPr>
                <w:rFonts w:hint="eastAsia" w:ascii="黑体" w:hAnsi="黑体" w:eastAsia="黑体" w:cs="Microsoft Himalaya"/>
                <w:color w:val="auto"/>
                <w:kern w:val="2"/>
                <w:sz w:val="18"/>
                <w:szCs w:val="18"/>
                <w:highlight w:val="none"/>
              </w:rPr>
            </w:pPr>
            <w:r>
              <w:rPr>
                <w:rFonts w:hint="eastAsia" w:ascii="黑体" w:hAnsi="黑体" w:eastAsia="黑体" w:cs="Microsoft Himalaya"/>
                <w:color w:val="auto"/>
                <w:kern w:val="2"/>
                <w:sz w:val="18"/>
                <w:szCs w:val="18"/>
                <w:highlight w:val="none"/>
              </w:rPr>
              <w:t>2份</w:t>
            </w:r>
          </w:p>
        </w:tc>
        <w:tc>
          <w:tcPr>
            <w:tcW w:w="226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line="320" w:lineRule="exact"/>
              <w:rPr>
                <w:rFonts w:ascii="黑体" w:hAnsi="黑体" w:eastAsia="黑体" w:cs="Microsoft Himalaya"/>
                <w:color w:val="auto"/>
                <w:kern w:val="2"/>
                <w:sz w:val="18"/>
                <w:szCs w:val="18"/>
                <w:highlight w:val="none"/>
              </w:rPr>
            </w:pPr>
          </w:p>
        </w:tc>
      </w:tr>
    </w:tbl>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．证券机构办理预扣预缴或者直接代扣代缴限售股转让应缴纳个人所得税申报的，应报送：</w:t>
      </w:r>
    </w:p>
    <w:tbl>
      <w:tblPr>
        <w:tblStyle w:val="4"/>
        <w:tblW w:w="7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序号</w:t>
            </w:r>
          </w:p>
        </w:tc>
        <w:tc>
          <w:tcPr>
            <w:tcW w:w="4253" w:type="dxa"/>
            <w:tcBorders>
              <w:top w:val="single" w:color="auto" w:sz="4" w:space="0"/>
              <w:left w:val="nil"/>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材料名称</w:t>
            </w:r>
          </w:p>
        </w:tc>
        <w:tc>
          <w:tcPr>
            <w:tcW w:w="708" w:type="dxa"/>
            <w:tcBorders>
              <w:top w:val="single" w:color="auto" w:sz="4" w:space="0"/>
              <w:left w:val="nil"/>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数量</w:t>
            </w:r>
          </w:p>
        </w:tc>
        <w:tc>
          <w:tcPr>
            <w:tcW w:w="2268" w:type="dxa"/>
            <w:tcBorders>
              <w:top w:val="single" w:color="auto" w:sz="4" w:space="0"/>
              <w:left w:val="nil"/>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1</w:t>
            </w:r>
          </w:p>
        </w:tc>
        <w:tc>
          <w:tcPr>
            <w:tcW w:w="4253"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rPr>
                <w:rFonts w:ascii="黑体" w:hAnsi="黑体" w:eastAsia="黑体" w:cs="Microsoft Himalaya"/>
                <w:kern w:val="2"/>
                <w:sz w:val="18"/>
                <w:szCs w:val="18"/>
              </w:rPr>
            </w:pPr>
            <w:r>
              <w:rPr>
                <w:rFonts w:hint="eastAsia" w:ascii="黑体" w:hAnsi="黑体" w:eastAsia="黑体" w:cs="Microsoft Himalaya"/>
                <w:kern w:val="2"/>
                <w:sz w:val="18"/>
                <w:szCs w:val="18"/>
              </w:rPr>
              <w:t>《限售股转让所得扣缴个人所得税报告表》</w:t>
            </w:r>
          </w:p>
        </w:tc>
        <w:tc>
          <w:tcPr>
            <w:tcW w:w="70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cs="Microsoft Himalaya"/>
                <w:kern w:val="2"/>
                <w:sz w:val="18"/>
                <w:szCs w:val="18"/>
              </w:rPr>
            </w:pPr>
            <w:r>
              <w:rPr>
                <w:rFonts w:hint="eastAsia" w:ascii="黑体" w:hAnsi="黑体" w:eastAsia="黑体" w:cs="Microsoft Himalaya"/>
                <w:kern w:val="2"/>
                <w:sz w:val="18"/>
                <w:szCs w:val="18"/>
              </w:rPr>
              <w:t>2份</w:t>
            </w:r>
          </w:p>
        </w:tc>
        <w:tc>
          <w:tcPr>
            <w:tcW w:w="226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line="320" w:lineRule="exact"/>
              <w:rPr>
                <w:rFonts w:ascii="黑体" w:hAnsi="黑体" w:eastAsia="黑体" w:cs="Microsoft Himalaya"/>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2</w:t>
            </w:r>
          </w:p>
        </w:tc>
        <w:tc>
          <w:tcPr>
            <w:tcW w:w="4253"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rPr>
                <w:rFonts w:ascii="黑体" w:hAnsi="黑体" w:eastAsia="黑体" w:cs="Microsoft Himalaya"/>
                <w:kern w:val="2"/>
                <w:sz w:val="18"/>
                <w:szCs w:val="18"/>
              </w:rPr>
            </w:pPr>
            <w:r>
              <w:rPr>
                <w:rFonts w:hint="eastAsia" w:ascii="黑体" w:hAnsi="黑体" w:eastAsia="黑体" w:cs="Microsoft Himalaya"/>
                <w:kern w:val="2"/>
                <w:sz w:val="18"/>
                <w:szCs w:val="18"/>
              </w:rPr>
              <w:t>省税务机关要求提供的其他资料</w:t>
            </w:r>
          </w:p>
        </w:tc>
        <w:tc>
          <w:tcPr>
            <w:tcW w:w="70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cs="Microsoft Himalaya"/>
                <w:kern w:val="2"/>
                <w:sz w:val="18"/>
                <w:szCs w:val="18"/>
              </w:rPr>
            </w:pPr>
          </w:p>
        </w:tc>
        <w:tc>
          <w:tcPr>
            <w:tcW w:w="226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line="320" w:lineRule="exact"/>
              <w:rPr>
                <w:rFonts w:ascii="黑体" w:hAnsi="黑体" w:eastAsia="黑体" w:cs="Microsoft Himalaya"/>
                <w:kern w:val="2"/>
                <w:sz w:val="18"/>
                <w:szCs w:val="18"/>
              </w:rPr>
            </w:pPr>
          </w:p>
        </w:tc>
      </w:tr>
    </w:tbl>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．扣缴义务人办理股权转让扣缴申报时，应报送：</w:t>
      </w:r>
    </w:p>
    <w:tbl>
      <w:tblPr>
        <w:tblStyle w:val="4"/>
        <w:tblW w:w="7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49"/>
        <w:gridCol w:w="3004"/>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序号</w:t>
            </w:r>
          </w:p>
        </w:tc>
        <w:tc>
          <w:tcPr>
            <w:tcW w:w="4253" w:type="dxa"/>
            <w:gridSpan w:val="2"/>
            <w:tcBorders>
              <w:top w:val="single" w:color="auto" w:sz="4" w:space="0"/>
              <w:left w:val="nil"/>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材料名称</w:t>
            </w:r>
          </w:p>
        </w:tc>
        <w:tc>
          <w:tcPr>
            <w:tcW w:w="708" w:type="dxa"/>
            <w:tcBorders>
              <w:top w:val="single" w:color="auto" w:sz="4" w:space="0"/>
              <w:left w:val="nil"/>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数量</w:t>
            </w:r>
          </w:p>
        </w:tc>
        <w:tc>
          <w:tcPr>
            <w:tcW w:w="2268" w:type="dxa"/>
            <w:tcBorders>
              <w:top w:val="single" w:color="auto" w:sz="4" w:space="0"/>
              <w:left w:val="nil"/>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1</w:t>
            </w:r>
          </w:p>
        </w:tc>
        <w:tc>
          <w:tcPr>
            <w:tcW w:w="425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rPr>
                <w:rFonts w:ascii="黑体" w:hAnsi="黑体" w:eastAsia="黑体" w:cs="Microsoft Himalaya"/>
                <w:kern w:val="2"/>
                <w:sz w:val="18"/>
                <w:szCs w:val="18"/>
              </w:rPr>
            </w:pPr>
            <w:r>
              <w:rPr>
                <w:rFonts w:hint="eastAsia" w:ascii="黑体" w:hAnsi="黑体" w:eastAsia="黑体" w:cs="Microsoft Himalaya"/>
                <w:kern w:val="2"/>
                <w:sz w:val="18"/>
                <w:szCs w:val="18"/>
              </w:rPr>
              <w:t>《扣缴个人所得税报告表》</w:t>
            </w:r>
          </w:p>
        </w:tc>
        <w:tc>
          <w:tcPr>
            <w:tcW w:w="70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cs="Microsoft Himalaya"/>
                <w:kern w:val="2"/>
                <w:sz w:val="18"/>
                <w:szCs w:val="18"/>
              </w:rPr>
            </w:pPr>
            <w:r>
              <w:rPr>
                <w:rFonts w:hint="eastAsia" w:ascii="黑体" w:hAnsi="黑体" w:eastAsia="黑体" w:cs="Microsoft Himalaya"/>
                <w:kern w:val="2"/>
                <w:sz w:val="18"/>
                <w:szCs w:val="18"/>
              </w:rPr>
              <w:t>2份</w:t>
            </w:r>
          </w:p>
        </w:tc>
        <w:tc>
          <w:tcPr>
            <w:tcW w:w="226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line="320" w:lineRule="exact"/>
              <w:rPr>
                <w:rFonts w:ascii="黑体" w:hAnsi="黑体" w:eastAsia="黑体" w:cs="Microsoft Himalaya"/>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2</w:t>
            </w:r>
          </w:p>
        </w:tc>
        <w:tc>
          <w:tcPr>
            <w:tcW w:w="425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rPr>
                <w:rFonts w:ascii="黑体" w:hAnsi="黑体" w:eastAsia="黑体" w:cs="Microsoft Himalaya"/>
                <w:kern w:val="2"/>
                <w:sz w:val="18"/>
                <w:szCs w:val="18"/>
              </w:rPr>
            </w:pPr>
            <w:r>
              <w:rPr>
                <w:rFonts w:hint="eastAsia" w:ascii="黑体" w:hAnsi="黑体" w:eastAsia="黑体" w:cs="Microsoft Himalaya"/>
                <w:kern w:val="2"/>
                <w:sz w:val="18"/>
                <w:szCs w:val="18"/>
              </w:rPr>
              <w:t>《个人所得税基础信息表（A表）》</w:t>
            </w:r>
          </w:p>
        </w:tc>
        <w:tc>
          <w:tcPr>
            <w:tcW w:w="70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cs="Microsoft Himalaya"/>
                <w:kern w:val="2"/>
                <w:sz w:val="18"/>
                <w:szCs w:val="18"/>
              </w:rPr>
            </w:pPr>
            <w:r>
              <w:rPr>
                <w:rFonts w:hint="eastAsia" w:ascii="黑体" w:hAnsi="黑体" w:eastAsia="黑体" w:cs="Microsoft Himalaya"/>
                <w:kern w:val="2"/>
                <w:sz w:val="18"/>
                <w:szCs w:val="18"/>
              </w:rPr>
              <w:t>2份</w:t>
            </w:r>
          </w:p>
        </w:tc>
        <w:tc>
          <w:tcPr>
            <w:tcW w:w="226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line="320" w:lineRule="exact"/>
              <w:rPr>
                <w:rFonts w:ascii="黑体" w:hAnsi="黑体" w:eastAsia="黑体" w:cs="Microsoft Himalaya"/>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3</w:t>
            </w:r>
          </w:p>
        </w:tc>
        <w:tc>
          <w:tcPr>
            <w:tcW w:w="425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rPr>
                <w:rFonts w:ascii="黑体" w:hAnsi="黑体" w:eastAsia="黑体" w:cs="Microsoft Himalaya"/>
                <w:kern w:val="2"/>
                <w:sz w:val="18"/>
                <w:szCs w:val="18"/>
              </w:rPr>
            </w:pPr>
            <w:r>
              <w:rPr>
                <w:rFonts w:hint="eastAsia" w:ascii="黑体" w:hAnsi="黑体" w:eastAsia="黑体" w:cs="Microsoft Himalaya"/>
                <w:kern w:val="2"/>
                <w:sz w:val="18"/>
                <w:szCs w:val="18"/>
              </w:rPr>
              <w:t>股权转让合同（协议）</w:t>
            </w:r>
          </w:p>
        </w:tc>
        <w:tc>
          <w:tcPr>
            <w:tcW w:w="70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cs="Microsoft Himalaya"/>
                <w:kern w:val="2"/>
                <w:sz w:val="18"/>
                <w:szCs w:val="18"/>
              </w:rPr>
            </w:pPr>
            <w:r>
              <w:rPr>
                <w:rFonts w:hint="eastAsia" w:ascii="黑体" w:hAnsi="黑体" w:eastAsia="黑体" w:cs="Microsoft Himalaya"/>
                <w:kern w:val="2"/>
                <w:sz w:val="18"/>
                <w:szCs w:val="18"/>
              </w:rPr>
              <w:t>1份</w:t>
            </w:r>
          </w:p>
        </w:tc>
        <w:tc>
          <w:tcPr>
            <w:tcW w:w="226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line="320" w:lineRule="exact"/>
              <w:rPr>
                <w:rFonts w:ascii="黑体" w:hAnsi="黑体" w:eastAsia="黑体" w:cs="Microsoft Himalaya"/>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4</w:t>
            </w:r>
          </w:p>
        </w:tc>
        <w:tc>
          <w:tcPr>
            <w:tcW w:w="425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rPr>
                <w:rFonts w:ascii="黑体" w:hAnsi="黑体" w:eastAsia="黑体" w:cs="Microsoft Himalaya"/>
                <w:kern w:val="2"/>
                <w:sz w:val="18"/>
                <w:szCs w:val="18"/>
              </w:rPr>
            </w:pPr>
            <w:r>
              <w:rPr>
                <w:rFonts w:hint="eastAsia" w:ascii="黑体" w:hAnsi="黑体" w:eastAsia="黑体" w:cs="Microsoft Himalaya"/>
                <w:kern w:val="2"/>
                <w:sz w:val="18"/>
                <w:szCs w:val="18"/>
              </w:rPr>
              <w:t>股权转让身份证明</w:t>
            </w:r>
          </w:p>
        </w:tc>
        <w:tc>
          <w:tcPr>
            <w:tcW w:w="70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cs="Microsoft Himalaya"/>
                <w:kern w:val="2"/>
                <w:sz w:val="18"/>
                <w:szCs w:val="18"/>
              </w:rPr>
            </w:pPr>
            <w:r>
              <w:rPr>
                <w:rFonts w:hint="eastAsia" w:ascii="黑体" w:hAnsi="黑体" w:eastAsia="黑体" w:cs="Microsoft Himalaya"/>
                <w:kern w:val="2"/>
                <w:sz w:val="18"/>
                <w:szCs w:val="18"/>
              </w:rPr>
              <w:t>1份</w:t>
            </w:r>
          </w:p>
        </w:tc>
        <w:tc>
          <w:tcPr>
            <w:tcW w:w="226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line="320" w:lineRule="exact"/>
              <w:rPr>
                <w:rFonts w:ascii="黑体" w:hAnsi="黑体" w:eastAsia="黑体" w:cs="Microsoft Himalaya"/>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5</w:t>
            </w:r>
          </w:p>
        </w:tc>
        <w:tc>
          <w:tcPr>
            <w:tcW w:w="4253" w:type="dxa"/>
            <w:gridSpan w:val="2"/>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rPr>
                <w:rFonts w:ascii="黑体" w:hAnsi="黑体" w:eastAsia="黑体" w:cs="Microsoft Himalaya"/>
                <w:kern w:val="2"/>
                <w:sz w:val="18"/>
                <w:szCs w:val="18"/>
              </w:rPr>
            </w:pPr>
            <w:r>
              <w:rPr>
                <w:rFonts w:hint="eastAsia" w:ascii="黑体" w:hAnsi="黑体" w:eastAsia="黑体" w:cs="Microsoft Himalaya"/>
                <w:kern w:val="2"/>
                <w:sz w:val="18"/>
                <w:szCs w:val="18"/>
              </w:rPr>
              <w:t>主管税务机关要求报送的其他资料</w:t>
            </w:r>
          </w:p>
        </w:tc>
        <w:tc>
          <w:tcPr>
            <w:tcW w:w="70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cs="Microsoft Himalaya"/>
                <w:kern w:val="2"/>
                <w:sz w:val="18"/>
                <w:szCs w:val="18"/>
              </w:rPr>
            </w:pPr>
          </w:p>
        </w:tc>
        <w:tc>
          <w:tcPr>
            <w:tcW w:w="226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line="320" w:lineRule="exact"/>
              <w:rPr>
                <w:rFonts w:ascii="黑体" w:hAnsi="黑体" w:eastAsia="黑体" w:cs="Microsoft Himalaya"/>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793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以下为条件报送资料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1953"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100" w:beforeAutospacing="1"/>
              <w:rPr>
                <w:rFonts w:ascii="仿宋" w:hAnsi="仿宋" w:eastAsia="仿宋"/>
                <w:kern w:val="2"/>
                <w:sz w:val="18"/>
                <w:szCs w:val="18"/>
              </w:rPr>
            </w:pPr>
            <w:r>
              <w:rPr>
                <w:rFonts w:hint="eastAsia" w:ascii="黑体" w:hAnsi="黑体" w:eastAsia="黑体" w:cs="Microsoft Himalaya"/>
                <w:kern w:val="2"/>
                <w:sz w:val="18"/>
                <w:szCs w:val="18"/>
              </w:rPr>
              <w:t>按规定需要进行资产评估的</w:t>
            </w:r>
          </w:p>
        </w:tc>
        <w:tc>
          <w:tcPr>
            <w:tcW w:w="3004"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rPr>
                <w:rFonts w:ascii="黑体" w:hAnsi="黑体" w:eastAsia="黑体" w:cs="Microsoft Himalaya"/>
                <w:kern w:val="2"/>
                <w:sz w:val="18"/>
                <w:szCs w:val="18"/>
              </w:rPr>
            </w:pPr>
            <w:r>
              <w:rPr>
                <w:rFonts w:hint="eastAsia" w:ascii="黑体" w:hAnsi="黑体" w:eastAsia="黑体" w:cs="Microsoft Himalaya"/>
                <w:kern w:val="2"/>
                <w:sz w:val="18"/>
                <w:szCs w:val="18"/>
              </w:rPr>
              <w:t>具有法定资质的中介机构出具的净资产或土地房产等资产价值评估报告</w:t>
            </w:r>
          </w:p>
        </w:tc>
        <w:tc>
          <w:tcPr>
            <w:tcW w:w="70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cs="Microsoft Himalaya"/>
                <w:kern w:val="2"/>
                <w:sz w:val="18"/>
                <w:szCs w:val="18"/>
              </w:rPr>
            </w:pPr>
            <w:r>
              <w:rPr>
                <w:rFonts w:hint="eastAsia" w:ascii="黑体" w:hAnsi="黑体" w:eastAsia="黑体" w:cs="Microsoft Himalaya"/>
                <w:kern w:val="2"/>
                <w:sz w:val="18"/>
                <w:szCs w:val="18"/>
              </w:rPr>
              <w:t>1份</w:t>
            </w:r>
          </w:p>
        </w:tc>
        <w:tc>
          <w:tcPr>
            <w:tcW w:w="226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rPr>
                <w:rFonts w:ascii="黑体" w:hAnsi="黑体" w:eastAsia="黑体" w:cs="Microsoft Himalaya"/>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953"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100" w:beforeAutospacing="1"/>
              <w:rPr>
                <w:rFonts w:ascii="仿宋" w:hAnsi="仿宋" w:eastAsia="仿宋" w:cs="Microsoft Himalaya"/>
                <w:kern w:val="2"/>
                <w:sz w:val="18"/>
                <w:szCs w:val="18"/>
              </w:rPr>
            </w:pPr>
            <w:r>
              <w:rPr>
                <w:rFonts w:hint="eastAsia" w:ascii="黑体" w:hAnsi="黑体" w:eastAsia="黑体" w:cs="Microsoft Himalaya"/>
                <w:kern w:val="2"/>
                <w:sz w:val="18"/>
                <w:szCs w:val="18"/>
              </w:rPr>
              <w:t>计税依据明显偏低但有正当理由时</w:t>
            </w:r>
          </w:p>
        </w:tc>
        <w:tc>
          <w:tcPr>
            <w:tcW w:w="3004"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rPr>
                <w:rFonts w:ascii="仿宋" w:hAnsi="仿宋" w:eastAsia="仿宋" w:cs="Microsoft Himalaya"/>
                <w:kern w:val="2"/>
                <w:sz w:val="18"/>
                <w:szCs w:val="18"/>
              </w:rPr>
            </w:pPr>
            <w:r>
              <w:rPr>
                <w:rFonts w:hint="eastAsia" w:ascii="黑体" w:hAnsi="黑体" w:eastAsia="黑体" w:cs="Microsoft Himalaya"/>
                <w:kern w:val="2"/>
                <w:sz w:val="18"/>
                <w:szCs w:val="18"/>
              </w:rPr>
              <w:t>相应证明材料</w:t>
            </w:r>
          </w:p>
        </w:tc>
        <w:tc>
          <w:tcPr>
            <w:tcW w:w="70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jc w:val="center"/>
              <w:rPr>
                <w:rFonts w:ascii="仿宋" w:hAnsi="仿宋" w:eastAsia="仿宋" w:cs="Microsoft Himalaya"/>
                <w:kern w:val="2"/>
                <w:sz w:val="18"/>
                <w:szCs w:val="18"/>
              </w:rPr>
            </w:pPr>
            <w:r>
              <w:rPr>
                <w:rFonts w:hint="eastAsia" w:ascii="黑体" w:hAnsi="黑体" w:eastAsia="黑体" w:cs="Microsoft Himalaya"/>
                <w:kern w:val="2"/>
                <w:sz w:val="18"/>
                <w:szCs w:val="18"/>
              </w:rPr>
              <w:t>1份</w:t>
            </w:r>
          </w:p>
        </w:tc>
        <w:tc>
          <w:tcPr>
            <w:tcW w:w="226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rPr>
                <w:rFonts w:ascii="仿宋" w:hAnsi="仿宋" w:eastAsia="仿宋" w:cs="Microsoft Himalaya"/>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953"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100" w:beforeAutospacing="1"/>
              <w:rPr>
                <w:rFonts w:ascii="黑体" w:hAnsi="黑体" w:eastAsia="黑体" w:cs="Microsoft Himalaya"/>
                <w:kern w:val="2"/>
                <w:sz w:val="18"/>
                <w:szCs w:val="18"/>
              </w:rPr>
            </w:pPr>
            <w:r>
              <w:rPr>
                <w:rFonts w:hint="eastAsia" w:ascii="黑体" w:hAnsi="黑体" w:eastAsia="黑体" w:cs="Microsoft Himalaya"/>
                <w:kern w:val="2"/>
                <w:sz w:val="18"/>
                <w:szCs w:val="18"/>
              </w:rPr>
              <w:t>选择股权激励和技术入股递延纳税所得税政策的</w:t>
            </w:r>
          </w:p>
        </w:tc>
        <w:tc>
          <w:tcPr>
            <w:tcW w:w="3004"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rPr>
                <w:rFonts w:ascii="黑体" w:hAnsi="黑体" w:eastAsia="黑体" w:cs="Microsoft Himalaya"/>
                <w:kern w:val="2"/>
                <w:sz w:val="18"/>
                <w:szCs w:val="18"/>
              </w:rPr>
            </w:pPr>
            <w:r>
              <w:rPr>
                <w:rFonts w:hint="eastAsia" w:ascii="黑体" w:hAnsi="黑体" w:eastAsia="黑体" w:cs="Microsoft Himalaya"/>
                <w:kern w:val="2"/>
                <w:sz w:val="18"/>
                <w:szCs w:val="18"/>
              </w:rPr>
              <w:t>能够证明股票（权）转让价格、递延纳税股票（权）原值、合理税费的其他有关资料</w:t>
            </w:r>
          </w:p>
        </w:tc>
        <w:tc>
          <w:tcPr>
            <w:tcW w:w="70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jc w:val="center"/>
              <w:rPr>
                <w:rFonts w:ascii="仿宋" w:hAnsi="仿宋" w:eastAsia="仿宋" w:cs="Microsoft Himalaya"/>
                <w:kern w:val="2"/>
                <w:sz w:val="18"/>
                <w:szCs w:val="18"/>
              </w:rPr>
            </w:pPr>
            <w:r>
              <w:rPr>
                <w:rFonts w:hint="eastAsia" w:ascii="黑体" w:hAnsi="黑体" w:eastAsia="黑体" w:cs="Microsoft Himalaya"/>
                <w:kern w:val="2"/>
                <w:sz w:val="18"/>
                <w:szCs w:val="18"/>
              </w:rPr>
              <w:t>1份</w:t>
            </w:r>
          </w:p>
        </w:tc>
        <w:tc>
          <w:tcPr>
            <w:tcW w:w="226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rPr>
                <w:rFonts w:ascii="仿宋" w:hAnsi="仿宋" w:eastAsia="仿宋" w:cs="Microsoft Himalaya"/>
                <w:kern w:val="2"/>
                <w:sz w:val="18"/>
                <w:szCs w:val="18"/>
              </w:rPr>
            </w:pPr>
          </w:p>
        </w:tc>
      </w:tr>
    </w:tbl>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．有下列情形的，还应报送：</w:t>
      </w:r>
    </w:p>
    <w:tbl>
      <w:tblPr>
        <w:tblStyle w:val="4"/>
        <w:tblW w:w="7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2671"/>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228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p>
        </w:tc>
        <w:tc>
          <w:tcPr>
            <w:tcW w:w="2671" w:type="dxa"/>
            <w:tcBorders>
              <w:top w:val="single" w:color="auto" w:sz="4" w:space="0"/>
              <w:left w:val="nil"/>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材料名称</w:t>
            </w:r>
          </w:p>
        </w:tc>
        <w:tc>
          <w:tcPr>
            <w:tcW w:w="708" w:type="dxa"/>
            <w:tcBorders>
              <w:top w:val="single" w:color="auto" w:sz="4" w:space="0"/>
              <w:left w:val="nil"/>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数量</w:t>
            </w:r>
          </w:p>
        </w:tc>
        <w:tc>
          <w:tcPr>
            <w:tcW w:w="2268" w:type="dxa"/>
            <w:tcBorders>
              <w:top w:val="single" w:color="auto" w:sz="4" w:space="0"/>
              <w:left w:val="nil"/>
              <w:bottom w:val="single" w:color="auto" w:sz="4" w:space="0"/>
              <w:right w:val="single" w:color="auto" w:sz="4" w:space="0"/>
            </w:tcBorders>
            <w:shd w:val="clear" w:color="auto" w:fill="D9D9D9"/>
            <w:vAlign w:val="center"/>
          </w:tcPr>
          <w:p>
            <w:pPr>
              <w:widowControl w:val="0"/>
              <w:adjustRightInd w:val="0"/>
              <w:snapToGrid w:val="0"/>
              <w:spacing w:before="100" w:beforeAutospacing="1"/>
              <w:jc w:val="center"/>
              <w:rPr>
                <w:rFonts w:ascii="黑体" w:hAnsi="黑体" w:eastAsia="黑体"/>
                <w:kern w:val="2"/>
              </w:rPr>
            </w:pPr>
            <w:r>
              <w:rPr>
                <w:rFonts w:hint="eastAsia" w:ascii="黑体" w:hAnsi="黑体" w:eastAsia="黑体"/>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228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100" w:beforeAutospacing="1"/>
              <w:rPr>
                <w:rFonts w:ascii="黑体" w:hAnsi="黑体" w:eastAsia="黑体" w:cs="Microsoft Himalaya"/>
                <w:kern w:val="2"/>
                <w:sz w:val="18"/>
                <w:szCs w:val="18"/>
              </w:rPr>
            </w:pPr>
            <w:r>
              <w:rPr>
                <w:rFonts w:hint="eastAsia" w:ascii="黑体" w:hAnsi="黑体" w:eastAsia="黑体" w:cs="Microsoft Himalaya"/>
                <w:kern w:val="2"/>
                <w:sz w:val="18"/>
                <w:szCs w:val="18"/>
              </w:rPr>
              <w:t>实施商业健康保险个人所得税政策试点的纳税人，还应报送</w:t>
            </w:r>
          </w:p>
        </w:tc>
        <w:tc>
          <w:tcPr>
            <w:tcW w:w="267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rPr>
                <w:rFonts w:ascii="黑体" w:hAnsi="黑体" w:eastAsia="黑体" w:cs="Microsoft Himalaya"/>
                <w:kern w:val="2"/>
                <w:sz w:val="18"/>
                <w:szCs w:val="18"/>
              </w:rPr>
            </w:pPr>
            <w:r>
              <w:rPr>
                <w:rFonts w:hint="eastAsia" w:ascii="黑体" w:hAnsi="黑体" w:eastAsia="黑体" w:cs="Microsoft Himalaya"/>
                <w:kern w:val="2"/>
                <w:sz w:val="18"/>
                <w:szCs w:val="18"/>
              </w:rPr>
              <w:t>《商业健康保险税前扣除情况明细表》</w:t>
            </w:r>
          </w:p>
        </w:tc>
        <w:tc>
          <w:tcPr>
            <w:tcW w:w="70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cs="Microsoft Himalaya"/>
                <w:kern w:val="2"/>
                <w:sz w:val="18"/>
                <w:szCs w:val="18"/>
              </w:rPr>
            </w:pPr>
            <w:r>
              <w:rPr>
                <w:rFonts w:hint="eastAsia" w:ascii="黑体" w:hAnsi="黑体" w:eastAsia="黑体" w:cs="Microsoft Himalaya"/>
                <w:kern w:val="2"/>
                <w:sz w:val="18"/>
                <w:szCs w:val="18"/>
              </w:rPr>
              <w:t>1份</w:t>
            </w:r>
          </w:p>
        </w:tc>
        <w:tc>
          <w:tcPr>
            <w:tcW w:w="226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line="320" w:lineRule="exact"/>
              <w:rPr>
                <w:rFonts w:ascii="黑体" w:hAnsi="黑体" w:eastAsia="黑体" w:cs="Microsoft Himalaya"/>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228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100" w:beforeAutospacing="1"/>
              <w:rPr>
                <w:rFonts w:ascii="黑体" w:hAnsi="黑体" w:eastAsia="黑体" w:cs="Microsoft Himalaya"/>
                <w:kern w:val="2"/>
                <w:sz w:val="18"/>
                <w:szCs w:val="18"/>
              </w:rPr>
            </w:pPr>
            <w:r>
              <w:rPr>
                <w:rFonts w:hint="eastAsia" w:ascii="黑体" w:hAnsi="黑体" w:eastAsia="黑体" w:cs="Microsoft Himalaya"/>
                <w:kern w:val="2"/>
                <w:sz w:val="18"/>
                <w:szCs w:val="18"/>
              </w:rPr>
              <w:t>实施税收递延型商业养老保险个人所得税政策试点的纳税人，还应报送</w:t>
            </w:r>
          </w:p>
        </w:tc>
        <w:tc>
          <w:tcPr>
            <w:tcW w:w="267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rPr>
                <w:rFonts w:ascii="黑体" w:hAnsi="黑体" w:eastAsia="黑体" w:cs="Microsoft Himalaya"/>
                <w:kern w:val="2"/>
                <w:sz w:val="18"/>
                <w:szCs w:val="18"/>
              </w:rPr>
            </w:pPr>
            <w:r>
              <w:rPr>
                <w:rFonts w:hint="eastAsia" w:ascii="黑体" w:hAnsi="黑体" w:eastAsia="黑体" w:cs="Microsoft Himalaya"/>
                <w:kern w:val="2"/>
                <w:sz w:val="18"/>
                <w:szCs w:val="18"/>
              </w:rPr>
              <w:t>《个人税收递延型商业养老保险税前扣除情况明细表》</w:t>
            </w:r>
          </w:p>
        </w:tc>
        <w:tc>
          <w:tcPr>
            <w:tcW w:w="70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cs="Microsoft Himalaya"/>
                <w:kern w:val="2"/>
                <w:sz w:val="18"/>
                <w:szCs w:val="18"/>
              </w:rPr>
            </w:pPr>
            <w:r>
              <w:rPr>
                <w:rFonts w:hint="eastAsia" w:ascii="黑体" w:hAnsi="黑体" w:eastAsia="黑体" w:cs="Microsoft Himalaya"/>
                <w:kern w:val="2"/>
                <w:sz w:val="18"/>
                <w:szCs w:val="18"/>
              </w:rPr>
              <w:t>1份</w:t>
            </w:r>
          </w:p>
        </w:tc>
        <w:tc>
          <w:tcPr>
            <w:tcW w:w="226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line="320" w:lineRule="exact"/>
              <w:rPr>
                <w:rFonts w:ascii="黑体" w:hAnsi="黑体" w:eastAsia="黑体" w:cs="Microsoft Himalaya"/>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228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100" w:beforeAutospacing="1"/>
              <w:rPr>
                <w:rFonts w:ascii="黑体" w:hAnsi="黑体" w:eastAsia="黑体" w:cs="Microsoft Himalaya"/>
                <w:kern w:val="2"/>
                <w:sz w:val="18"/>
                <w:szCs w:val="18"/>
              </w:rPr>
            </w:pPr>
            <w:r>
              <w:rPr>
                <w:rFonts w:hint="eastAsia" w:ascii="黑体" w:hAnsi="黑体" w:eastAsia="黑体" w:cs="Microsoft Himalaya"/>
                <w:kern w:val="2"/>
                <w:sz w:val="18"/>
                <w:szCs w:val="18"/>
              </w:rPr>
              <w:t>纳税人存在减免个人所得税情形的，还应报送</w:t>
            </w:r>
          </w:p>
        </w:tc>
        <w:tc>
          <w:tcPr>
            <w:tcW w:w="2671"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rPr>
                <w:rFonts w:ascii="黑体" w:hAnsi="黑体" w:eastAsia="黑体" w:cs="Microsoft Himalaya"/>
                <w:kern w:val="2"/>
                <w:sz w:val="18"/>
                <w:szCs w:val="18"/>
              </w:rPr>
            </w:pPr>
            <w:r>
              <w:rPr>
                <w:rFonts w:hint="eastAsia" w:ascii="黑体" w:hAnsi="黑体" w:eastAsia="黑体" w:cs="Microsoft Himalaya"/>
                <w:kern w:val="2"/>
                <w:sz w:val="18"/>
                <w:szCs w:val="18"/>
              </w:rPr>
              <w:t>《个人所得税减免税事项报告表》</w:t>
            </w:r>
          </w:p>
        </w:tc>
        <w:tc>
          <w:tcPr>
            <w:tcW w:w="70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jc w:val="center"/>
              <w:rPr>
                <w:rFonts w:ascii="黑体" w:hAnsi="黑体" w:eastAsia="黑体" w:cs="Microsoft Himalaya"/>
                <w:kern w:val="2"/>
                <w:sz w:val="18"/>
                <w:szCs w:val="18"/>
              </w:rPr>
            </w:pPr>
            <w:r>
              <w:rPr>
                <w:rFonts w:hint="eastAsia" w:ascii="黑体" w:hAnsi="黑体" w:eastAsia="黑体" w:cs="Microsoft Himalaya"/>
                <w:kern w:val="2"/>
                <w:sz w:val="18"/>
                <w:szCs w:val="18"/>
              </w:rPr>
              <w:t>1份</w:t>
            </w:r>
          </w:p>
        </w:tc>
        <w:tc>
          <w:tcPr>
            <w:tcW w:w="2268" w:type="dxa"/>
            <w:tcBorders>
              <w:top w:val="single" w:color="auto" w:sz="4" w:space="0"/>
              <w:left w:val="nil"/>
              <w:bottom w:val="single" w:color="auto" w:sz="4" w:space="0"/>
              <w:right w:val="single" w:color="auto" w:sz="4" w:space="0"/>
            </w:tcBorders>
            <w:vAlign w:val="center"/>
          </w:tcPr>
          <w:p>
            <w:pPr>
              <w:widowControl w:val="0"/>
              <w:adjustRightInd w:val="0"/>
              <w:snapToGrid w:val="0"/>
              <w:spacing w:before="100" w:beforeAutospacing="1" w:line="320" w:lineRule="exact"/>
              <w:rPr>
                <w:rFonts w:ascii="黑体" w:hAnsi="黑体" w:eastAsia="黑体" w:cs="Microsoft Himalaya"/>
                <w:kern w:val="2"/>
                <w:sz w:val="18"/>
                <w:szCs w:val="18"/>
              </w:rPr>
            </w:pPr>
          </w:p>
        </w:tc>
      </w:tr>
    </w:tbl>
    <w:p>
      <w:pPr>
        <w:ind w:firstLine="640" w:firstLineChars="200"/>
        <w:rPr>
          <w:rFonts w:hint="eastAsia" w:ascii="仿宋" w:hAnsi="仿宋" w:eastAsia="仿宋" w:cs="仿宋"/>
          <w:sz w:val="32"/>
          <w:szCs w:val="32"/>
        </w:rPr>
      </w:pPr>
      <w:r>
        <w:rPr>
          <w:rFonts w:hint="eastAsia" w:ascii="仿宋" w:hAnsi="仿宋" w:eastAsia="仿宋" w:cs="仿宋"/>
          <w:sz w:val="32"/>
          <w:szCs w:val="32"/>
        </w:rPr>
        <w:t>【办理时限】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资料齐全、符合法定形式、填写内容完整的，税务机关受理后即时办结。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【办理结果】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税务机关反馈申报结果。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【扣缴义务人注意事项】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1．扣缴义务人对报送材料的真实性和合法性承担责任。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2．扣缴义务人在资料完整且符合法定受理条件的前提下，最多只需要到税务机关跑一次。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从2019年1月1日起，纳税人申请开具税款所属期为2019年1月1日（含）以后的个人所得税缴（退）税情况证明的，税务机关不再开具《税收完税证明》（文书式），调整为开具《纳税记录》（具体内容及式样见附件）；纳税人申请开具税款所属期为2018年12月31日（含）以前个人所得税缴（退）税情况证明的，税务机关继续开具《税收完税证明》（文书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4．纳税人2019年1月1日以后取得应税所得并由扣缴义务人向税务机关办理了全员全额扣缴申报，或根据税法规定自行向税务机关办理纳税申报的，不论是否实际缴纳税款，均可以申请开具《纳税记录》。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5.纳税人可以通过电子税务局、办税服务厅申请开具本人的个人所得税《纳税记录》，个人所得税手机APP将陆续开放《纳税记录》查询、开具功能。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6.纳税人可以委托他人持下列证件和资料到办税服务厅代为开具个人所得税《纳税记录》：</w:t>
      </w:r>
      <w:r>
        <w:rPr>
          <w:rFonts w:hint="eastAsia" w:ascii="仿宋" w:hAnsi="仿宋" w:eastAsia="仿宋" w:cs="仿宋"/>
          <w:sz w:val="32"/>
          <w:szCs w:val="32"/>
        </w:rPr>
        <w:br w:type="textWrapping"/>
      </w:r>
      <w:r>
        <w:rPr>
          <w:rFonts w:hint="eastAsia" w:ascii="仿宋" w:hAnsi="仿宋" w:eastAsia="仿宋" w:cs="仿宋"/>
          <w:sz w:val="32"/>
          <w:szCs w:val="32"/>
        </w:rPr>
        <w:t xml:space="preserve">  （一）委托人及受托人有效身份证件原件；</w:t>
      </w:r>
      <w:r>
        <w:rPr>
          <w:rFonts w:hint="eastAsia" w:ascii="仿宋" w:hAnsi="仿宋" w:eastAsia="仿宋" w:cs="仿宋"/>
          <w:sz w:val="32"/>
          <w:szCs w:val="32"/>
        </w:rPr>
        <w:br w:type="textWrapping"/>
      </w:r>
      <w:r>
        <w:rPr>
          <w:rFonts w:hint="eastAsia" w:ascii="仿宋" w:hAnsi="仿宋" w:eastAsia="仿宋" w:cs="仿宋"/>
          <w:sz w:val="32"/>
          <w:szCs w:val="32"/>
        </w:rPr>
        <w:t xml:space="preserve">  （二）委托人书面授权资料。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7.纳税人对个人所得税《纳税记录》存在异议的，可以向该项记录中列明的税务机关申请核实。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8.税务机关提供个人所得税《纳税记录》的验证服务，支持通过电子税务局、手机APP等方式进行验证。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9．办税服务厅地址、自然人税收管理系统扣缴客户端下载路径，可在国家税务总局贵州省税务局门户网站或拨打12366纳税服务热线查询。</w:t>
      </w:r>
    </w:p>
    <w:p>
      <w:pPr>
        <w:rPr>
          <w:rFonts w:hint="eastAsia" w:ascii="黑体" w:hAnsi="黑体" w:eastAsia="黑体"/>
          <w:sz w:val="32"/>
          <w:szCs w:val="32"/>
        </w:rPr>
      </w:pPr>
      <w:r>
        <w:rPr>
          <w:rFonts w:hint="eastAsia" w:ascii="黑体" w:hAnsi="黑体" w:eastAsia="黑体"/>
          <w:sz w:val="32"/>
          <w:szCs w:val="32"/>
        </w:rPr>
        <w:t>附件</w:t>
      </w:r>
    </w:p>
    <w:p>
      <w:pPr>
        <w:jc w:val="center"/>
        <w:rPr>
          <w:rFonts w:hint="eastAsia" w:ascii="方正小标宋简体" w:eastAsia="方正小标宋简体"/>
          <w:sz w:val="36"/>
          <w:szCs w:val="36"/>
        </w:rPr>
      </w:pPr>
      <w:r>
        <w:rPr>
          <w:rFonts w:hint="eastAsia" w:ascii="方正小标宋简体" w:eastAsia="方正小标宋简体"/>
          <w:sz w:val="36"/>
          <w:szCs w:val="36"/>
        </w:rPr>
        <w:t>个人所得税预扣率表一</w:t>
      </w:r>
    </w:p>
    <w:p>
      <w:pPr>
        <w:widowControl/>
        <w:shd w:val="clear" w:color="auto" w:fill="FFFFFF"/>
        <w:spacing w:line="0" w:lineRule="atLeast"/>
        <w:jc w:val="center"/>
        <w:rPr>
          <w:rFonts w:hint="eastAsia"/>
        </w:rPr>
      </w:pPr>
      <w:r>
        <w:rPr>
          <w:rFonts w:hint="eastAsia" w:ascii="楷体_GB2312" w:hAnsi="黑体" w:eastAsia="楷体_GB2312" w:cs="宋体"/>
          <w:kern w:val="0"/>
          <w:szCs w:val="21"/>
        </w:rPr>
        <w:t>（居民个人工资、薪金所得预扣预缴适用）</w:t>
      </w:r>
    </w:p>
    <w:tbl>
      <w:tblPr>
        <w:tblStyle w:val="4"/>
        <w:tblW w:w="8982" w:type="dxa"/>
        <w:jc w:val="center"/>
        <w:tblInd w:w="0" w:type="dxa"/>
        <w:tblLayout w:type="fixed"/>
        <w:tblCellMar>
          <w:top w:w="0" w:type="dxa"/>
          <w:left w:w="108" w:type="dxa"/>
          <w:bottom w:w="0" w:type="dxa"/>
          <w:right w:w="108" w:type="dxa"/>
        </w:tblCellMar>
      </w:tblPr>
      <w:tblGrid>
        <w:gridCol w:w="916"/>
        <w:gridCol w:w="4667"/>
        <w:gridCol w:w="1365"/>
        <w:gridCol w:w="2034"/>
      </w:tblGrid>
      <w:tr>
        <w:tblPrEx>
          <w:tblLayout w:type="fixed"/>
          <w:tblCellMar>
            <w:top w:w="0" w:type="dxa"/>
            <w:left w:w="108" w:type="dxa"/>
            <w:bottom w:w="0" w:type="dxa"/>
            <w:right w:w="108" w:type="dxa"/>
          </w:tblCellMar>
        </w:tblPrEx>
        <w:trPr>
          <w:trHeight w:val="395"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级数</w:t>
            </w:r>
          </w:p>
        </w:tc>
        <w:tc>
          <w:tcPr>
            <w:tcW w:w="46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累计预扣预缴应纳税所得额</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预扣率（%）</w:t>
            </w:r>
          </w:p>
        </w:tc>
        <w:tc>
          <w:tcPr>
            <w:tcW w:w="20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速算扣除数</w:t>
            </w:r>
          </w:p>
        </w:tc>
      </w:tr>
      <w:tr>
        <w:tblPrEx>
          <w:tblLayout w:type="fixed"/>
          <w:tblCellMar>
            <w:top w:w="0" w:type="dxa"/>
            <w:left w:w="108" w:type="dxa"/>
            <w:bottom w:w="0" w:type="dxa"/>
            <w:right w:w="108" w:type="dxa"/>
          </w:tblCellMar>
        </w:tblPrEx>
        <w:trPr>
          <w:trHeight w:val="395"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olor w:val="000000"/>
                <w:kern w:val="0"/>
                <w:szCs w:val="21"/>
              </w:rPr>
            </w:pPr>
            <w:r>
              <w:rPr>
                <w:rFonts w:ascii="宋体" w:hAnsi="宋体" w:eastAsia="宋体"/>
                <w:color w:val="000000"/>
                <w:kern w:val="0"/>
                <w:szCs w:val="21"/>
              </w:rPr>
              <w:t>1</w:t>
            </w:r>
          </w:p>
        </w:tc>
        <w:tc>
          <w:tcPr>
            <w:tcW w:w="46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bCs/>
                <w:kern w:val="0"/>
                <w:szCs w:val="21"/>
              </w:rPr>
            </w:pPr>
            <w:r>
              <w:rPr>
                <w:rFonts w:hint="eastAsia" w:ascii="宋体" w:hAnsi="宋体" w:eastAsia="宋体"/>
                <w:bCs/>
                <w:color w:val="000000"/>
                <w:kern w:val="0"/>
                <w:szCs w:val="21"/>
              </w:rPr>
              <w:t>不超过</w:t>
            </w:r>
            <w:r>
              <w:rPr>
                <w:rFonts w:ascii="宋体" w:hAnsi="宋体" w:eastAsia="宋体"/>
                <w:bCs/>
                <w:color w:val="000000"/>
                <w:kern w:val="0"/>
                <w:szCs w:val="21"/>
              </w:rPr>
              <w:t>36000</w:t>
            </w:r>
            <w:r>
              <w:rPr>
                <w:rFonts w:hint="eastAsia" w:ascii="宋体" w:hAnsi="宋体" w:eastAsia="宋体"/>
                <w:bCs/>
                <w:color w:val="000000"/>
                <w:kern w:val="0"/>
                <w:szCs w:val="21"/>
              </w:rPr>
              <w:t>元</w:t>
            </w:r>
          </w:p>
        </w:tc>
        <w:tc>
          <w:tcPr>
            <w:tcW w:w="13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bCs/>
                <w:color w:val="000000"/>
                <w:kern w:val="0"/>
                <w:szCs w:val="21"/>
              </w:rPr>
            </w:pPr>
            <w:r>
              <w:rPr>
                <w:rFonts w:ascii="宋体" w:hAnsi="宋体" w:eastAsia="宋体"/>
                <w:bCs/>
                <w:color w:val="000000"/>
                <w:kern w:val="0"/>
                <w:szCs w:val="21"/>
              </w:rPr>
              <w:t>3</w:t>
            </w:r>
          </w:p>
        </w:tc>
        <w:tc>
          <w:tcPr>
            <w:tcW w:w="2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bCs/>
                <w:color w:val="000000"/>
                <w:kern w:val="0"/>
                <w:szCs w:val="21"/>
              </w:rPr>
            </w:pPr>
            <w:r>
              <w:rPr>
                <w:rFonts w:ascii="宋体" w:hAnsi="宋体" w:eastAsia="宋体"/>
                <w:bCs/>
                <w:color w:val="000000"/>
                <w:kern w:val="0"/>
                <w:szCs w:val="21"/>
              </w:rPr>
              <w:t>0</w:t>
            </w:r>
          </w:p>
        </w:tc>
      </w:tr>
      <w:tr>
        <w:tblPrEx>
          <w:tblLayout w:type="fixed"/>
          <w:tblCellMar>
            <w:top w:w="0" w:type="dxa"/>
            <w:left w:w="108" w:type="dxa"/>
            <w:bottom w:w="0" w:type="dxa"/>
            <w:right w:w="108" w:type="dxa"/>
          </w:tblCellMar>
        </w:tblPrEx>
        <w:trPr>
          <w:trHeight w:val="395"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olor w:val="000000"/>
                <w:kern w:val="0"/>
                <w:szCs w:val="21"/>
              </w:rPr>
            </w:pPr>
            <w:r>
              <w:rPr>
                <w:rFonts w:ascii="宋体" w:hAnsi="宋体" w:eastAsia="宋体"/>
                <w:color w:val="000000"/>
                <w:kern w:val="0"/>
                <w:szCs w:val="21"/>
              </w:rPr>
              <w:t>2</w:t>
            </w:r>
          </w:p>
        </w:tc>
        <w:tc>
          <w:tcPr>
            <w:tcW w:w="46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bCs/>
                <w:color w:val="000000"/>
                <w:kern w:val="0"/>
                <w:szCs w:val="21"/>
              </w:rPr>
            </w:pPr>
            <w:r>
              <w:rPr>
                <w:rFonts w:hint="eastAsia" w:ascii="宋体" w:hAnsi="宋体" w:eastAsia="宋体"/>
                <w:bCs/>
                <w:color w:val="000000"/>
                <w:kern w:val="0"/>
                <w:szCs w:val="21"/>
              </w:rPr>
              <w:t>超过</w:t>
            </w:r>
            <w:r>
              <w:rPr>
                <w:rFonts w:ascii="宋体" w:hAnsi="宋体" w:eastAsia="宋体"/>
                <w:bCs/>
                <w:color w:val="000000"/>
                <w:kern w:val="0"/>
                <w:szCs w:val="21"/>
              </w:rPr>
              <w:t>36000</w:t>
            </w:r>
            <w:r>
              <w:rPr>
                <w:rFonts w:hint="eastAsia" w:ascii="宋体" w:hAnsi="宋体" w:eastAsia="宋体"/>
                <w:bCs/>
                <w:color w:val="000000"/>
                <w:kern w:val="0"/>
                <w:szCs w:val="21"/>
              </w:rPr>
              <w:t>元至</w:t>
            </w:r>
            <w:r>
              <w:rPr>
                <w:rFonts w:ascii="宋体" w:hAnsi="宋体" w:eastAsia="宋体"/>
                <w:bCs/>
                <w:color w:val="000000"/>
                <w:kern w:val="0"/>
                <w:szCs w:val="21"/>
              </w:rPr>
              <w:t>144000</w:t>
            </w:r>
            <w:r>
              <w:rPr>
                <w:rFonts w:hint="eastAsia" w:ascii="宋体" w:hAnsi="宋体" w:eastAsia="宋体"/>
                <w:bCs/>
                <w:color w:val="000000"/>
                <w:kern w:val="0"/>
                <w:szCs w:val="21"/>
              </w:rPr>
              <w:t>元的部分</w:t>
            </w:r>
          </w:p>
        </w:tc>
        <w:tc>
          <w:tcPr>
            <w:tcW w:w="13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bCs/>
                <w:color w:val="000000"/>
                <w:kern w:val="0"/>
                <w:szCs w:val="21"/>
              </w:rPr>
            </w:pPr>
            <w:r>
              <w:rPr>
                <w:rFonts w:ascii="宋体" w:hAnsi="宋体" w:eastAsia="宋体"/>
                <w:bCs/>
                <w:color w:val="000000"/>
                <w:kern w:val="0"/>
                <w:szCs w:val="21"/>
              </w:rPr>
              <w:t>10</w:t>
            </w:r>
          </w:p>
        </w:tc>
        <w:tc>
          <w:tcPr>
            <w:tcW w:w="2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bCs/>
                <w:color w:val="000000"/>
                <w:kern w:val="0"/>
                <w:szCs w:val="21"/>
              </w:rPr>
            </w:pPr>
            <w:r>
              <w:rPr>
                <w:rFonts w:ascii="宋体" w:hAnsi="宋体" w:eastAsia="宋体"/>
                <w:bCs/>
                <w:color w:val="000000"/>
                <w:kern w:val="0"/>
                <w:szCs w:val="21"/>
              </w:rPr>
              <w:t>2520</w:t>
            </w:r>
          </w:p>
        </w:tc>
      </w:tr>
      <w:tr>
        <w:tblPrEx>
          <w:tblLayout w:type="fixed"/>
          <w:tblCellMar>
            <w:top w:w="0" w:type="dxa"/>
            <w:left w:w="108" w:type="dxa"/>
            <w:bottom w:w="0" w:type="dxa"/>
            <w:right w:w="108" w:type="dxa"/>
          </w:tblCellMar>
        </w:tblPrEx>
        <w:trPr>
          <w:trHeight w:val="395"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olor w:val="000000"/>
                <w:kern w:val="0"/>
                <w:szCs w:val="21"/>
              </w:rPr>
            </w:pPr>
            <w:r>
              <w:rPr>
                <w:rFonts w:ascii="宋体" w:hAnsi="宋体" w:eastAsia="宋体"/>
                <w:color w:val="000000"/>
                <w:kern w:val="0"/>
                <w:szCs w:val="21"/>
              </w:rPr>
              <w:t>3</w:t>
            </w:r>
          </w:p>
        </w:tc>
        <w:tc>
          <w:tcPr>
            <w:tcW w:w="46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bCs/>
                <w:color w:val="000000"/>
                <w:kern w:val="0"/>
                <w:szCs w:val="21"/>
              </w:rPr>
            </w:pPr>
            <w:r>
              <w:rPr>
                <w:rFonts w:hint="eastAsia" w:ascii="宋体" w:hAnsi="宋体" w:eastAsia="宋体"/>
                <w:bCs/>
                <w:color w:val="000000"/>
                <w:kern w:val="0"/>
                <w:szCs w:val="21"/>
              </w:rPr>
              <w:t>超过</w:t>
            </w:r>
            <w:r>
              <w:rPr>
                <w:rFonts w:ascii="宋体" w:hAnsi="宋体" w:eastAsia="宋体"/>
                <w:bCs/>
                <w:color w:val="000000"/>
                <w:kern w:val="0"/>
                <w:szCs w:val="21"/>
              </w:rPr>
              <w:t>144000</w:t>
            </w:r>
            <w:r>
              <w:rPr>
                <w:rFonts w:hint="eastAsia" w:ascii="宋体" w:hAnsi="宋体" w:eastAsia="宋体"/>
                <w:bCs/>
                <w:color w:val="000000"/>
                <w:kern w:val="0"/>
                <w:szCs w:val="21"/>
              </w:rPr>
              <w:t>元至</w:t>
            </w:r>
            <w:r>
              <w:rPr>
                <w:rFonts w:ascii="宋体" w:hAnsi="宋体" w:eastAsia="宋体"/>
                <w:bCs/>
                <w:color w:val="000000"/>
                <w:kern w:val="0"/>
                <w:szCs w:val="21"/>
              </w:rPr>
              <w:t>300000</w:t>
            </w:r>
            <w:r>
              <w:rPr>
                <w:rFonts w:hint="eastAsia" w:ascii="宋体" w:hAnsi="宋体" w:eastAsia="宋体"/>
                <w:bCs/>
                <w:color w:val="000000"/>
                <w:kern w:val="0"/>
                <w:szCs w:val="21"/>
              </w:rPr>
              <w:t>元的部分</w:t>
            </w:r>
          </w:p>
        </w:tc>
        <w:tc>
          <w:tcPr>
            <w:tcW w:w="13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bCs/>
                <w:color w:val="000000"/>
                <w:kern w:val="0"/>
                <w:szCs w:val="21"/>
              </w:rPr>
            </w:pPr>
            <w:r>
              <w:rPr>
                <w:rFonts w:ascii="宋体" w:hAnsi="宋体" w:eastAsia="宋体"/>
                <w:bCs/>
                <w:color w:val="000000"/>
                <w:kern w:val="0"/>
                <w:szCs w:val="21"/>
              </w:rPr>
              <w:t>20</w:t>
            </w:r>
          </w:p>
        </w:tc>
        <w:tc>
          <w:tcPr>
            <w:tcW w:w="2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bCs/>
                <w:color w:val="000000"/>
                <w:kern w:val="0"/>
                <w:szCs w:val="21"/>
              </w:rPr>
            </w:pPr>
            <w:r>
              <w:rPr>
                <w:rFonts w:ascii="宋体" w:hAnsi="宋体" w:eastAsia="宋体"/>
                <w:bCs/>
                <w:color w:val="000000"/>
                <w:kern w:val="0"/>
                <w:szCs w:val="21"/>
              </w:rPr>
              <w:t>16920</w:t>
            </w:r>
          </w:p>
        </w:tc>
      </w:tr>
      <w:tr>
        <w:tblPrEx>
          <w:tblLayout w:type="fixed"/>
          <w:tblCellMar>
            <w:top w:w="0" w:type="dxa"/>
            <w:left w:w="108" w:type="dxa"/>
            <w:bottom w:w="0" w:type="dxa"/>
            <w:right w:w="108" w:type="dxa"/>
          </w:tblCellMar>
        </w:tblPrEx>
        <w:trPr>
          <w:trHeight w:val="395"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olor w:val="000000"/>
                <w:kern w:val="0"/>
                <w:szCs w:val="21"/>
              </w:rPr>
            </w:pPr>
            <w:r>
              <w:rPr>
                <w:rFonts w:ascii="宋体" w:hAnsi="宋体" w:eastAsia="宋体"/>
                <w:color w:val="000000"/>
                <w:kern w:val="0"/>
                <w:szCs w:val="21"/>
              </w:rPr>
              <w:t>4</w:t>
            </w:r>
          </w:p>
        </w:tc>
        <w:tc>
          <w:tcPr>
            <w:tcW w:w="46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bCs/>
                <w:color w:val="000000"/>
                <w:kern w:val="0"/>
                <w:szCs w:val="21"/>
              </w:rPr>
            </w:pPr>
            <w:r>
              <w:rPr>
                <w:rFonts w:hint="eastAsia" w:ascii="宋体" w:hAnsi="宋体" w:eastAsia="宋体"/>
                <w:bCs/>
                <w:color w:val="000000"/>
                <w:kern w:val="0"/>
                <w:szCs w:val="21"/>
              </w:rPr>
              <w:t>超过</w:t>
            </w:r>
            <w:r>
              <w:rPr>
                <w:rFonts w:ascii="宋体" w:hAnsi="宋体" w:eastAsia="宋体"/>
                <w:bCs/>
                <w:color w:val="000000"/>
                <w:kern w:val="0"/>
                <w:szCs w:val="21"/>
              </w:rPr>
              <w:t>300000</w:t>
            </w:r>
            <w:r>
              <w:rPr>
                <w:rFonts w:hint="eastAsia" w:ascii="宋体" w:hAnsi="宋体" w:eastAsia="宋体"/>
                <w:bCs/>
                <w:color w:val="000000"/>
                <w:kern w:val="0"/>
                <w:szCs w:val="21"/>
              </w:rPr>
              <w:t>元至</w:t>
            </w:r>
            <w:r>
              <w:rPr>
                <w:rFonts w:ascii="宋体" w:hAnsi="宋体" w:eastAsia="宋体"/>
                <w:bCs/>
                <w:color w:val="000000"/>
                <w:kern w:val="0"/>
                <w:szCs w:val="21"/>
              </w:rPr>
              <w:t>420000</w:t>
            </w:r>
            <w:r>
              <w:rPr>
                <w:rFonts w:hint="eastAsia" w:ascii="宋体" w:hAnsi="宋体" w:eastAsia="宋体"/>
                <w:bCs/>
                <w:color w:val="000000"/>
                <w:kern w:val="0"/>
                <w:szCs w:val="21"/>
              </w:rPr>
              <w:t>元的部分</w:t>
            </w:r>
          </w:p>
        </w:tc>
        <w:tc>
          <w:tcPr>
            <w:tcW w:w="13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bCs/>
                <w:color w:val="000000"/>
                <w:kern w:val="0"/>
                <w:szCs w:val="21"/>
              </w:rPr>
            </w:pPr>
            <w:r>
              <w:rPr>
                <w:rFonts w:ascii="宋体" w:hAnsi="宋体" w:eastAsia="宋体"/>
                <w:bCs/>
                <w:color w:val="000000"/>
                <w:kern w:val="0"/>
                <w:szCs w:val="21"/>
              </w:rPr>
              <w:t>25</w:t>
            </w:r>
          </w:p>
        </w:tc>
        <w:tc>
          <w:tcPr>
            <w:tcW w:w="2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bCs/>
                <w:color w:val="000000"/>
                <w:kern w:val="0"/>
                <w:szCs w:val="21"/>
              </w:rPr>
            </w:pPr>
            <w:r>
              <w:rPr>
                <w:rFonts w:ascii="宋体" w:hAnsi="宋体" w:eastAsia="宋体"/>
                <w:bCs/>
                <w:color w:val="000000"/>
                <w:kern w:val="0"/>
                <w:szCs w:val="21"/>
              </w:rPr>
              <w:t>31920</w:t>
            </w:r>
          </w:p>
        </w:tc>
      </w:tr>
      <w:tr>
        <w:tblPrEx>
          <w:tblLayout w:type="fixed"/>
          <w:tblCellMar>
            <w:top w:w="0" w:type="dxa"/>
            <w:left w:w="108" w:type="dxa"/>
            <w:bottom w:w="0" w:type="dxa"/>
            <w:right w:w="108" w:type="dxa"/>
          </w:tblCellMar>
        </w:tblPrEx>
        <w:trPr>
          <w:trHeight w:val="395"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olor w:val="000000"/>
                <w:kern w:val="0"/>
                <w:szCs w:val="21"/>
              </w:rPr>
            </w:pPr>
            <w:r>
              <w:rPr>
                <w:rFonts w:ascii="宋体" w:hAnsi="宋体" w:eastAsia="宋体"/>
                <w:color w:val="000000"/>
                <w:kern w:val="0"/>
                <w:szCs w:val="21"/>
              </w:rPr>
              <w:t>5</w:t>
            </w:r>
          </w:p>
        </w:tc>
        <w:tc>
          <w:tcPr>
            <w:tcW w:w="46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bCs/>
                <w:color w:val="000000"/>
                <w:kern w:val="0"/>
                <w:szCs w:val="21"/>
              </w:rPr>
            </w:pPr>
            <w:r>
              <w:rPr>
                <w:rFonts w:hint="eastAsia" w:ascii="宋体" w:hAnsi="宋体" w:eastAsia="宋体"/>
                <w:bCs/>
                <w:color w:val="000000"/>
                <w:kern w:val="0"/>
                <w:szCs w:val="21"/>
              </w:rPr>
              <w:t>超过</w:t>
            </w:r>
            <w:r>
              <w:rPr>
                <w:rFonts w:ascii="宋体" w:hAnsi="宋体" w:eastAsia="宋体"/>
                <w:bCs/>
                <w:color w:val="000000"/>
                <w:kern w:val="0"/>
                <w:szCs w:val="21"/>
              </w:rPr>
              <w:t>420000</w:t>
            </w:r>
            <w:r>
              <w:rPr>
                <w:rFonts w:hint="eastAsia" w:ascii="宋体" w:hAnsi="宋体" w:eastAsia="宋体"/>
                <w:bCs/>
                <w:color w:val="000000"/>
                <w:kern w:val="0"/>
                <w:szCs w:val="21"/>
              </w:rPr>
              <w:t>元至</w:t>
            </w:r>
            <w:r>
              <w:rPr>
                <w:rFonts w:ascii="宋体" w:hAnsi="宋体" w:eastAsia="宋体"/>
                <w:bCs/>
                <w:color w:val="000000"/>
                <w:kern w:val="0"/>
                <w:szCs w:val="21"/>
              </w:rPr>
              <w:t>660000</w:t>
            </w:r>
            <w:r>
              <w:rPr>
                <w:rFonts w:hint="eastAsia" w:ascii="宋体" w:hAnsi="宋体" w:eastAsia="宋体"/>
                <w:bCs/>
                <w:color w:val="000000"/>
                <w:kern w:val="0"/>
                <w:szCs w:val="21"/>
              </w:rPr>
              <w:t>元的部分</w:t>
            </w:r>
          </w:p>
        </w:tc>
        <w:tc>
          <w:tcPr>
            <w:tcW w:w="13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bCs/>
                <w:color w:val="000000"/>
                <w:kern w:val="0"/>
                <w:szCs w:val="21"/>
              </w:rPr>
            </w:pPr>
            <w:r>
              <w:rPr>
                <w:rFonts w:ascii="宋体" w:hAnsi="宋体" w:eastAsia="宋体"/>
                <w:bCs/>
                <w:color w:val="000000"/>
                <w:kern w:val="0"/>
                <w:szCs w:val="21"/>
              </w:rPr>
              <w:t>30</w:t>
            </w:r>
          </w:p>
        </w:tc>
        <w:tc>
          <w:tcPr>
            <w:tcW w:w="2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bCs/>
                <w:color w:val="000000"/>
                <w:kern w:val="0"/>
                <w:szCs w:val="21"/>
              </w:rPr>
            </w:pPr>
            <w:r>
              <w:rPr>
                <w:rFonts w:ascii="宋体" w:hAnsi="宋体" w:eastAsia="宋体"/>
                <w:bCs/>
                <w:color w:val="000000"/>
                <w:kern w:val="0"/>
                <w:szCs w:val="21"/>
              </w:rPr>
              <w:t>52920</w:t>
            </w:r>
          </w:p>
        </w:tc>
      </w:tr>
      <w:tr>
        <w:tblPrEx>
          <w:tblLayout w:type="fixed"/>
          <w:tblCellMar>
            <w:top w:w="0" w:type="dxa"/>
            <w:left w:w="108" w:type="dxa"/>
            <w:bottom w:w="0" w:type="dxa"/>
            <w:right w:w="108" w:type="dxa"/>
          </w:tblCellMar>
        </w:tblPrEx>
        <w:trPr>
          <w:trHeight w:val="395"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olor w:val="000000"/>
                <w:kern w:val="0"/>
                <w:szCs w:val="21"/>
              </w:rPr>
            </w:pPr>
            <w:r>
              <w:rPr>
                <w:rFonts w:ascii="宋体" w:hAnsi="宋体" w:eastAsia="宋体"/>
                <w:color w:val="000000"/>
                <w:kern w:val="0"/>
                <w:szCs w:val="21"/>
              </w:rPr>
              <w:t>6</w:t>
            </w:r>
          </w:p>
        </w:tc>
        <w:tc>
          <w:tcPr>
            <w:tcW w:w="46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bCs/>
                <w:color w:val="000000"/>
                <w:kern w:val="0"/>
                <w:szCs w:val="21"/>
              </w:rPr>
            </w:pPr>
            <w:r>
              <w:rPr>
                <w:rFonts w:hint="eastAsia" w:ascii="宋体" w:hAnsi="宋体" w:eastAsia="宋体"/>
                <w:bCs/>
                <w:color w:val="000000"/>
                <w:kern w:val="0"/>
                <w:szCs w:val="21"/>
              </w:rPr>
              <w:t>超过</w:t>
            </w:r>
            <w:r>
              <w:rPr>
                <w:rFonts w:ascii="宋体" w:hAnsi="宋体" w:eastAsia="宋体"/>
                <w:bCs/>
                <w:color w:val="000000"/>
                <w:kern w:val="0"/>
                <w:szCs w:val="21"/>
              </w:rPr>
              <w:t>660000</w:t>
            </w:r>
            <w:r>
              <w:rPr>
                <w:rFonts w:hint="eastAsia" w:ascii="宋体" w:hAnsi="宋体" w:eastAsia="宋体"/>
                <w:bCs/>
                <w:color w:val="000000"/>
                <w:kern w:val="0"/>
                <w:szCs w:val="21"/>
              </w:rPr>
              <w:t>元至</w:t>
            </w:r>
            <w:r>
              <w:rPr>
                <w:rFonts w:ascii="宋体" w:hAnsi="宋体" w:eastAsia="宋体"/>
                <w:bCs/>
                <w:color w:val="000000"/>
                <w:kern w:val="0"/>
                <w:szCs w:val="21"/>
              </w:rPr>
              <w:t>960000</w:t>
            </w:r>
            <w:r>
              <w:rPr>
                <w:rFonts w:hint="eastAsia" w:ascii="宋体" w:hAnsi="宋体" w:eastAsia="宋体"/>
                <w:bCs/>
                <w:color w:val="000000"/>
                <w:kern w:val="0"/>
                <w:szCs w:val="21"/>
              </w:rPr>
              <w:t>元的部分</w:t>
            </w:r>
          </w:p>
        </w:tc>
        <w:tc>
          <w:tcPr>
            <w:tcW w:w="13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bCs/>
                <w:color w:val="000000"/>
                <w:kern w:val="0"/>
                <w:szCs w:val="21"/>
              </w:rPr>
            </w:pPr>
            <w:r>
              <w:rPr>
                <w:rFonts w:ascii="宋体" w:hAnsi="宋体" w:eastAsia="宋体"/>
                <w:bCs/>
                <w:color w:val="000000"/>
                <w:kern w:val="0"/>
                <w:szCs w:val="21"/>
              </w:rPr>
              <w:t>35</w:t>
            </w:r>
          </w:p>
        </w:tc>
        <w:tc>
          <w:tcPr>
            <w:tcW w:w="2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bCs/>
                <w:color w:val="000000"/>
                <w:kern w:val="0"/>
                <w:szCs w:val="21"/>
              </w:rPr>
            </w:pPr>
            <w:r>
              <w:rPr>
                <w:rFonts w:ascii="宋体" w:hAnsi="宋体" w:eastAsia="宋体"/>
                <w:bCs/>
                <w:color w:val="000000"/>
                <w:kern w:val="0"/>
                <w:szCs w:val="21"/>
              </w:rPr>
              <w:t>85920</w:t>
            </w:r>
          </w:p>
        </w:tc>
      </w:tr>
      <w:tr>
        <w:tblPrEx>
          <w:tblLayout w:type="fixed"/>
          <w:tblCellMar>
            <w:top w:w="0" w:type="dxa"/>
            <w:left w:w="108" w:type="dxa"/>
            <w:bottom w:w="0" w:type="dxa"/>
            <w:right w:w="108" w:type="dxa"/>
          </w:tblCellMar>
        </w:tblPrEx>
        <w:trPr>
          <w:trHeight w:val="395"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olor w:val="000000"/>
                <w:kern w:val="0"/>
                <w:szCs w:val="21"/>
              </w:rPr>
            </w:pPr>
            <w:r>
              <w:rPr>
                <w:rFonts w:ascii="宋体" w:hAnsi="宋体" w:eastAsia="宋体"/>
                <w:color w:val="000000"/>
                <w:kern w:val="0"/>
                <w:szCs w:val="21"/>
              </w:rPr>
              <w:t>7</w:t>
            </w:r>
          </w:p>
        </w:tc>
        <w:tc>
          <w:tcPr>
            <w:tcW w:w="46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bCs/>
                <w:color w:val="000000"/>
                <w:kern w:val="0"/>
                <w:szCs w:val="21"/>
              </w:rPr>
            </w:pPr>
            <w:r>
              <w:rPr>
                <w:rFonts w:hint="eastAsia" w:ascii="宋体" w:hAnsi="宋体" w:eastAsia="宋体"/>
                <w:bCs/>
                <w:color w:val="000000"/>
                <w:kern w:val="0"/>
                <w:szCs w:val="21"/>
              </w:rPr>
              <w:t>超过</w:t>
            </w:r>
            <w:r>
              <w:rPr>
                <w:rFonts w:ascii="宋体" w:hAnsi="宋体" w:eastAsia="宋体"/>
                <w:bCs/>
                <w:color w:val="000000"/>
                <w:kern w:val="0"/>
                <w:szCs w:val="21"/>
              </w:rPr>
              <w:t>960000</w:t>
            </w:r>
            <w:r>
              <w:rPr>
                <w:rFonts w:hint="eastAsia" w:ascii="宋体" w:hAnsi="宋体" w:eastAsia="宋体"/>
                <w:bCs/>
                <w:color w:val="000000"/>
                <w:kern w:val="0"/>
                <w:szCs w:val="21"/>
              </w:rPr>
              <w:t>元的部分</w:t>
            </w:r>
          </w:p>
        </w:tc>
        <w:tc>
          <w:tcPr>
            <w:tcW w:w="13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bCs/>
                <w:color w:val="000000"/>
                <w:kern w:val="0"/>
                <w:szCs w:val="21"/>
              </w:rPr>
            </w:pPr>
            <w:r>
              <w:rPr>
                <w:rFonts w:ascii="宋体" w:hAnsi="宋体" w:eastAsia="宋体"/>
                <w:bCs/>
                <w:color w:val="000000"/>
                <w:kern w:val="0"/>
                <w:szCs w:val="21"/>
              </w:rPr>
              <w:t>45</w:t>
            </w:r>
          </w:p>
        </w:tc>
        <w:tc>
          <w:tcPr>
            <w:tcW w:w="2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bCs/>
                <w:color w:val="000000"/>
                <w:kern w:val="0"/>
                <w:szCs w:val="21"/>
              </w:rPr>
            </w:pPr>
            <w:r>
              <w:rPr>
                <w:rFonts w:ascii="宋体" w:hAnsi="宋体" w:eastAsia="宋体"/>
                <w:bCs/>
                <w:color w:val="000000"/>
                <w:kern w:val="0"/>
                <w:szCs w:val="21"/>
              </w:rPr>
              <w:t>181920</w:t>
            </w:r>
          </w:p>
        </w:tc>
      </w:tr>
    </w:tbl>
    <w:p>
      <w:pPr>
        <w:rPr>
          <w:rFonts w:hint="eastAsia"/>
        </w:rPr>
      </w:pPr>
    </w:p>
    <w:p>
      <w:pPr>
        <w:jc w:val="center"/>
        <w:rPr>
          <w:rFonts w:hint="eastAsia"/>
        </w:rPr>
      </w:pPr>
      <w:r>
        <w:rPr>
          <w:rFonts w:hint="eastAsia" w:ascii="方正小标宋简体" w:eastAsia="方正小标宋简体"/>
          <w:sz w:val="36"/>
          <w:szCs w:val="36"/>
        </w:rPr>
        <w:t>个人所得税预扣率表二</w:t>
      </w:r>
    </w:p>
    <w:p>
      <w:pPr>
        <w:widowControl/>
        <w:shd w:val="clear" w:color="auto" w:fill="FFFFFF"/>
        <w:spacing w:line="0" w:lineRule="atLeast"/>
        <w:jc w:val="center"/>
        <w:rPr>
          <w:rFonts w:hint="eastAsia"/>
        </w:rPr>
      </w:pPr>
      <w:r>
        <w:rPr>
          <w:rFonts w:hint="eastAsia" w:ascii="楷体_GB2312" w:hAnsi="黑体" w:eastAsia="楷体_GB2312" w:cs="宋体"/>
          <w:kern w:val="0"/>
          <w:szCs w:val="21"/>
        </w:rPr>
        <w:t>（居民个人劳务报酬所得预扣预缴适用）</w:t>
      </w:r>
    </w:p>
    <w:tbl>
      <w:tblPr>
        <w:tblStyle w:val="4"/>
        <w:tblW w:w="8912" w:type="dxa"/>
        <w:jc w:val="center"/>
        <w:tblInd w:w="-516" w:type="dxa"/>
        <w:tblLayout w:type="fixed"/>
        <w:tblCellMar>
          <w:top w:w="0" w:type="dxa"/>
          <w:left w:w="108" w:type="dxa"/>
          <w:bottom w:w="0" w:type="dxa"/>
          <w:right w:w="108" w:type="dxa"/>
        </w:tblCellMar>
      </w:tblPr>
      <w:tblGrid>
        <w:gridCol w:w="900"/>
        <w:gridCol w:w="4623"/>
        <w:gridCol w:w="1440"/>
        <w:gridCol w:w="1949"/>
      </w:tblGrid>
      <w:tr>
        <w:tblPrEx>
          <w:tblLayout w:type="fixed"/>
          <w:tblCellMar>
            <w:top w:w="0" w:type="dxa"/>
            <w:left w:w="108" w:type="dxa"/>
            <w:bottom w:w="0" w:type="dxa"/>
            <w:right w:w="108" w:type="dxa"/>
          </w:tblCellMar>
        </w:tblPrEx>
        <w:trPr>
          <w:trHeight w:val="411"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级数</w:t>
            </w:r>
          </w:p>
        </w:tc>
        <w:tc>
          <w:tcPr>
            <w:tcW w:w="4623"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预扣预缴应纳税所得额</w:t>
            </w:r>
          </w:p>
        </w:tc>
        <w:tc>
          <w:tcPr>
            <w:tcW w:w="1440"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预扣率（%）</w:t>
            </w:r>
          </w:p>
        </w:tc>
        <w:tc>
          <w:tcPr>
            <w:tcW w:w="1949"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速算扣除数</w:t>
            </w:r>
          </w:p>
        </w:tc>
      </w:tr>
      <w:tr>
        <w:tblPrEx>
          <w:tblLayout w:type="fixed"/>
          <w:tblCellMar>
            <w:top w:w="0" w:type="dxa"/>
            <w:left w:w="108" w:type="dxa"/>
            <w:bottom w:w="0" w:type="dxa"/>
            <w:right w:w="108" w:type="dxa"/>
          </w:tblCellMar>
        </w:tblPrEx>
        <w:trPr>
          <w:trHeight w:val="411" w:hRule="atLeast"/>
          <w:jc w:val="center"/>
        </w:trPr>
        <w:tc>
          <w:tcPr>
            <w:tcW w:w="90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w:t>
            </w:r>
          </w:p>
        </w:tc>
        <w:tc>
          <w:tcPr>
            <w:tcW w:w="4623" w:type="dxa"/>
            <w:tcBorders>
              <w:top w:val="nil"/>
              <w:left w:val="nil"/>
              <w:bottom w:val="single" w:color="auto" w:sz="4" w:space="0"/>
              <w:right w:val="single" w:color="auto" w:sz="4" w:space="0"/>
            </w:tcBorders>
            <w:shd w:val="clear" w:color="auto" w:fill="FFFFFF"/>
            <w:noWrap w:val="0"/>
            <w:vAlign w:val="center"/>
          </w:tcPr>
          <w:p>
            <w:pPr>
              <w:widowControl/>
              <w:spacing w:line="240" w:lineRule="atLeast"/>
              <w:rPr>
                <w:rFonts w:hint="eastAsia" w:ascii="宋体" w:hAnsi="宋体" w:eastAsia="宋体" w:cs="宋体"/>
                <w:kern w:val="0"/>
                <w:szCs w:val="21"/>
              </w:rPr>
            </w:pPr>
            <w:r>
              <w:rPr>
                <w:rFonts w:hint="eastAsia" w:ascii="宋体" w:hAnsi="宋体" w:eastAsia="宋体" w:cs="宋体"/>
                <w:kern w:val="0"/>
                <w:szCs w:val="21"/>
              </w:rPr>
              <w:t>不超过20000元</w:t>
            </w:r>
          </w:p>
        </w:tc>
        <w:tc>
          <w:tcPr>
            <w:tcW w:w="1440" w:type="dxa"/>
            <w:tcBorders>
              <w:top w:val="nil"/>
              <w:left w:val="nil"/>
              <w:bottom w:val="single" w:color="auto" w:sz="4" w:space="0"/>
              <w:right w:val="single" w:color="auto" w:sz="4" w:space="0"/>
            </w:tcBorders>
            <w:shd w:val="clear" w:color="auto" w:fill="FFFFFF"/>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20</w:t>
            </w:r>
          </w:p>
        </w:tc>
        <w:tc>
          <w:tcPr>
            <w:tcW w:w="1949" w:type="dxa"/>
            <w:tcBorders>
              <w:top w:val="nil"/>
              <w:left w:val="nil"/>
              <w:bottom w:val="single" w:color="auto" w:sz="4" w:space="0"/>
              <w:right w:val="single" w:color="auto" w:sz="4" w:space="0"/>
            </w:tcBorders>
            <w:shd w:val="clear" w:color="auto" w:fill="FFFFFF"/>
            <w:noWrap w:val="0"/>
            <w:vAlign w:val="center"/>
          </w:tcPr>
          <w:p>
            <w:pPr>
              <w:spacing w:line="240" w:lineRule="atLeast"/>
              <w:jc w:val="center"/>
              <w:rPr>
                <w:rFonts w:hint="eastAsia" w:ascii="宋体" w:hAnsi="宋体" w:eastAsia="宋体" w:cs="宋体"/>
                <w:szCs w:val="21"/>
              </w:rPr>
            </w:pPr>
            <w:r>
              <w:rPr>
                <w:rFonts w:hint="eastAsia" w:ascii="宋体" w:hAnsi="宋体" w:eastAsia="宋体"/>
                <w:szCs w:val="21"/>
              </w:rPr>
              <w:t>0</w:t>
            </w:r>
          </w:p>
        </w:tc>
      </w:tr>
      <w:tr>
        <w:tblPrEx>
          <w:tblLayout w:type="fixed"/>
          <w:tblCellMar>
            <w:top w:w="0" w:type="dxa"/>
            <w:left w:w="108" w:type="dxa"/>
            <w:bottom w:w="0" w:type="dxa"/>
            <w:right w:w="108" w:type="dxa"/>
          </w:tblCellMar>
        </w:tblPrEx>
        <w:trPr>
          <w:trHeight w:val="411" w:hRule="atLeast"/>
          <w:jc w:val="center"/>
        </w:trPr>
        <w:tc>
          <w:tcPr>
            <w:tcW w:w="90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w:t>
            </w:r>
          </w:p>
        </w:tc>
        <w:tc>
          <w:tcPr>
            <w:tcW w:w="4623" w:type="dxa"/>
            <w:tcBorders>
              <w:top w:val="nil"/>
              <w:left w:val="nil"/>
              <w:bottom w:val="single" w:color="auto" w:sz="4" w:space="0"/>
              <w:right w:val="single" w:color="auto" w:sz="4" w:space="0"/>
            </w:tcBorders>
            <w:shd w:val="clear" w:color="auto" w:fill="FFFFFF"/>
            <w:noWrap w:val="0"/>
            <w:vAlign w:val="center"/>
          </w:tcPr>
          <w:p>
            <w:pPr>
              <w:widowControl/>
              <w:spacing w:line="240" w:lineRule="atLeast"/>
              <w:rPr>
                <w:rFonts w:hint="eastAsia" w:ascii="宋体" w:hAnsi="宋体" w:eastAsia="宋体" w:cs="宋体"/>
                <w:kern w:val="0"/>
                <w:szCs w:val="21"/>
              </w:rPr>
            </w:pPr>
            <w:r>
              <w:rPr>
                <w:rFonts w:hint="eastAsia" w:ascii="宋体" w:hAnsi="宋体" w:eastAsia="宋体" w:cs="宋体"/>
                <w:kern w:val="0"/>
                <w:szCs w:val="21"/>
              </w:rPr>
              <w:t>超过20000元至50000元的部分</w:t>
            </w:r>
          </w:p>
        </w:tc>
        <w:tc>
          <w:tcPr>
            <w:tcW w:w="1440" w:type="dxa"/>
            <w:tcBorders>
              <w:top w:val="nil"/>
              <w:left w:val="nil"/>
              <w:bottom w:val="single" w:color="auto" w:sz="4" w:space="0"/>
              <w:right w:val="single" w:color="auto" w:sz="4" w:space="0"/>
            </w:tcBorders>
            <w:shd w:val="clear" w:color="auto" w:fill="FFFFFF"/>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30</w:t>
            </w:r>
          </w:p>
        </w:tc>
        <w:tc>
          <w:tcPr>
            <w:tcW w:w="1949" w:type="dxa"/>
            <w:tcBorders>
              <w:top w:val="nil"/>
              <w:left w:val="nil"/>
              <w:bottom w:val="single" w:color="auto" w:sz="4" w:space="0"/>
              <w:right w:val="single" w:color="auto" w:sz="4" w:space="0"/>
            </w:tcBorders>
            <w:shd w:val="clear" w:color="auto" w:fill="FFFFFF"/>
            <w:noWrap w:val="0"/>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2000</w:t>
            </w:r>
          </w:p>
        </w:tc>
      </w:tr>
      <w:tr>
        <w:tblPrEx>
          <w:tblLayout w:type="fixed"/>
          <w:tblCellMar>
            <w:top w:w="0" w:type="dxa"/>
            <w:left w:w="108" w:type="dxa"/>
            <w:bottom w:w="0" w:type="dxa"/>
            <w:right w:w="108" w:type="dxa"/>
          </w:tblCellMar>
        </w:tblPrEx>
        <w:trPr>
          <w:trHeight w:val="411" w:hRule="atLeast"/>
          <w:jc w:val="center"/>
        </w:trPr>
        <w:tc>
          <w:tcPr>
            <w:tcW w:w="90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3</w:t>
            </w:r>
          </w:p>
        </w:tc>
        <w:tc>
          <w:tcPr>
            <w:tcW w:w="4623" w:type="dxa"/>
            <w:tcBorders>
              <w:top w:val="nil"/>
              <w:left w:val="nil"/>
              <w:bottom w:val="single" w:color="auto" w:sz="4" w:space="0"/>
              <w:right w:val="single" w:color="auto" w:sz="4" w:space="0"/>
            </w:tcBorders>
            <w:shd w:val="clear" w:color="auto" w:fill="FFFFFF"/>
            <w:noWrap w:val="0"/>
            <w:vAlign w:val="center"/>
          </w:tcPr>
          <w:p>
            <w:pPr>
              <w:widowControl/>
              <w:spacing w:line="240" w:lineRule="atLeast"/>
              <w:rPr>
                <w:rFonts w:hint="eastAsia" w:ascii="宋体" w:hAnsi="宋体" w:eastAsia="宋体" w:cs="宋体"/>
                <w:kern w:val="0"/>
                <w:szCs w:val="21"/>
              </w:rPr>
            </w:pPr>
            <w:r>
              <w:rPr>
                <w:rFonts w:hint="eastAsia" w:ascii="宋体" w:hAnsi="宋体" w:eastAsia="宋体" w:cs="宋体"/>
                <w:kern w:val="0"/>
                <w:szCs w:val="21"/>
              </w:rPr>
              <w:t>超过50000元的部分</w:t>
            </w:r>
          </w:p>
        </w:tc>
        <w:tc>
          <w:tcPr>
            <w:tcW w:w="1440" w:type="dxa"/>
            <w:tcBorders>
              <w:top w:val="nil"/>
              <w:left w:val="nil"/>
              <w:bottom w:val="single" w:color="auto" w:sz="4" w:space="0"/>
              <w:right w:val="single" w:color="auto" w:sz="4" w:space="0"/>
            </w:tcBorders>
            <w:shd w:val="clear" w:color="auto" w:fill="FFFFFF"/>
            <w:noWrap w:val="0"/>
            <w:vAlign w:val="center"/>
          </w:tcPr>
          <w:p>
            <w:pPr>
              <w:spacing w:line="240" w:lineRule="atLeast"/>
              <w:jc w:val="center"/>
              <w:rPr>
                <w:rFonts w:hint="eastAsia" w:ascii="宋体" w:hAnsi="宋体" w:eastAsia="宋体"/>
                <w:szCs w:val="21"/>
              </w:rPr>
            </w:pPr>
            <w:r>
              <w:rPr>
                <w:rFonts w:hint="eastAsia" w:ascii="宋体" w:hAnsi="宋体" w:eastAsia="宋体"/>
                <w:szCs w:val="21"/>
              </w:rPr>
              <w:t>40</w:t>
            </w:r>
          </w:p>
        </w:tc>
        <w:tc>
          <w:tcPr>
            <w:tcW w:w="1949" w:type="dxa"/>
            <w:tcBorders>
              <w:top w:val="nil"/>
              <w:left w:val="nil"/>
              <w:bottom w:val="single" w:color="auto" w:sz="4" w:space="0"/>
              <w:right w:val="single" w:color="auto" w:sz="4" w:space="0"/>
            </w:tcBorders>
            <w:shd w:val="clear" w:color="auto" w:fill="FFFFFF"/>
            <w:noWrap w:val="0"/>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7000</w:t>
            </w:r>
          </w:p>
        </w:tc>
      </w:tr>
    </w:tbl>
    <w:p>
      <w:pPr>
        <w:widowControl/>
        <w:shd w:val="clear" w:color="auto" w:fill="FFFFFF"/>
        <w:jc w:val="center"/>
        <w:rPr>
          <w:rFonts w:hint="eastAsia" w:ascii="方正小标宋简体" w:hAnsi="黑体" w:eastAsia="方正小标宋简体" w:cs="宋体"/>
          <w:kern w:val="0"/>
          <w:sz w:val="36"/>
          <w:szCs w:val="36"/>
        </w:rPr>
      </w:pPr>
    </w:p>
    <w:p>
      <w:pPr>
        <w:widowControl/>
        <w:shd w:val="clear" w:color="auto" w:fill="FFFFFF"/>
        <w:spacing w:line="0" w:lineRule="atLeast"/>
        <w:jc w:val="center"/>
        <w:rPr>
          <w:rFonts w:hint="eastAsia" w:ascii="方正小标宋简体" w:hAnsi="黑体" w:eastAsia="方正小标宋简体" w:cs="宋体"/>
          <w:kern w:val="0"/>
          <w:sz w:val="36"/>
          <w:szCs w:val="36"/>
        </w:rPr>
      </w:pPr>
      <w:r>
        <w:rPr>
          <w:rFonts w:hint="eastAsia" w:ascii="方正小标宋简体" w:hAnsi="黑体" w:eastAsia="方正小标宋简体" w:cs="宋体"/>
          <w:kern w:val="0"/>
          <w:sz w:val="36"/>
          <w:szCs w:val="36"/>
        </w:rPr>
        <w:t>个人所得税税率表三</w:t>
      </w:r>
    </w:p>
    <w:p>
      <w:pPr>
        <w:widowControl/>
        <w:shd w:val="clear" w:color="auto" w:fill="FFFFFF"/>
        <w:spacing w:line="0" w:lineRule="atLeast"/>
        <w:jc w:val="center"/>
        <w:rPr>
          <w:rFonts w:hint="eastAsia" w:ascii="黑体" w:hAnsi="黑体" w:eastAsia="黑体" w:cs="宋体"/>
          <w:b/>
          <w:kern w:val="0"/>
          <w:sz w:val="28"/>
          <w:szCs w:val="28"/>
        </w:rPr>
      </w:pPr>
      <w:r>
        <w:rPr>
          <w:rFonts w:hint="eastAsia" w:ascii="楷体_GB2312" w:hAnsi="黑体" w:eastAsia="楷体_GB2312" w:cs="宋体"/>
          <w:kern w:val="0"/>
          <w:szCs w:val="21"/>
        </w:rPr>
        <w:t>（非居民个人工资、薪金所得，劳务报酬所得，稿酬所得，特许权使用费所得适用）</w:t>
      </w:r>
    </w:p>
    <w:tbl>
      <w:tblPr>
        <w:tblStyle w:val="4"/>
        <w:tblW w:w="900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4680"/>
        <w:gridCol w:w="1440"/>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900" w:type="dxa"/>
            <w:noWrap w:val="0"/>
            <w:vAlign w:val="center"/>
          </w:tcPr>
          <w:p>
            <w:pPr>
              <w:widowControl/>
              <w:spacing w:line="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级数</w:t>
            </w:r>
          </w:p>
        </w:tc>
        <w:tc>
          <w:tcPr>
            <w:tcW w:w="4680" w:type="dxa"/>
            <w:noWrap w:val="0"/>
            <w:vAlign w:val="center"/>
          </w:tcPr>
          <w:p>
            <w:pPr>
              <w:widowControl/>
              <w:spacing w:line="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应纳税所得额</w:t>
            </w:r>
          </w:p>
        </w:tc>
        <w:tc>
          <w:tcPr>
            <w:tcW w:w="1440" w:type="dxa"/>
            <w:noWrap w:val="0"/>
            <w:vAlign w:val="center"/>
          </w:tcPr>
          <w:p>
            <w:pPr>
              <w:widowControl/>
              <w:spacing w:line="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税率（%）</w:t>
            </w:r>
          </w:p>
        </w:tc>
        <w:tc>
          <w:tcPr>
            <w:tcW w:w="1980" w:type="dxa"/>
            <w:noWrap w:val="0"/>
            <w:vAlign w:val="center"/>
          </w:tcPr>
          <w:p>
            <w:pPr>
              <w:widowControl/>
              <w:spacing w:line="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速算扣除数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900" w:type="dxa"/>
            <w:noWrap w:val="0"/>
            <w:vAlign w:val="center"/>
          </w:tcPr>
          <w:p>
            <w:pPr>
              <w:widowControl/>
              <w:spacing w:line="0" w:lineRule="atLeast"/>
              <w:jc w:val="center"/>
              <w:rPr>
                <w:rFonts w:hint="eastAsia" w:ascii="宋体" w:hAnsi="宋体" w:eastAsia="宋体" w:cs="宋体"/>
                <w:kern w:val="0"/>
              </w:rPr>
            </w:pPr>
            <w:r>
              <w:rPr>
                <w:rFonts w:hint="eastAsia" w:ascii="宋体" w:hAnsi="宋体" w:eastAsia="宋体" w:cs="宋体"/>
                <w:kern w:val="0"/>
              </w:rPr>
              <w:t>1</w:t>
            </w:r>
          </w:p>
        </w:tc>
        <w:tc>
          <w:tcPr>
            <w:tcW w:w="4680" w:type="dxa"/>
            <w:noWrap w:val="0"/>
            <w:vAlign w:val="center"/>
          </w:tcPr>
          <w:p>
            <w:pPr>
              <w:widowControl/>
              <w:spacing w:line="0" w:lineRule="atLeast"/>
              <w:jc w:val="left"/>
              <w:rPr>
                <w:rFonts w:hint="eastAsia" w:ascii="宋体" w:hAnsi="宋体" w:eastAsia="宋体" w:cs="宋体"/>
                <w:kern w:val="0"/>
              </w:rPr>
            </w:pPr>
            <w:r>
              <w:rPr>
                <w:rFonts w:hint="eastAsia" w:ascii="宋体" w:hAnsi="宋体" w:eastAsia="宋体" w:cs="宋体"/>
                <w:kern w:val="0"/>
              </w:rPr>
              <w:t>不超过3000元</w:t>
            </w:r>
          </w:p>
        </w:tc>
        <w:tc>
          <w:tcPr>
            <w:tcW w:w="1440" w:type="dxa"/>
            <w:noWrap w:val="0"/>
            <w:vAlign w:val="center"/>
          </w:tcPr>
          <w:p>
            <w:pPr>
              <w:widowControl/>
              <w:spacing w:line="0" w:lineRule="atLeast"/>
              <w:jc w:val="center"/>
              <w:rPr>
                <w:rFonts w:hint="eastAsia" w:ascii="宋体" w:hAnsi="宋体" w:eastAsia="宋体" w:cs="宋体"/>
                <w:kern w:val="0"/>
              </w:rPr>
            </w:pPr>
            <w:r>
              <w:rPr>
                <w:rFonts w:hint="eastAsia" w:ascii="宋体" w:hAnsi="宋体" w:eastAsia="宋体" w:cs="宋体"/>
                <w:kern w:val="0"/>
              </w:rPr>
              <w:t>3</w:t>
            </w:r>
          </w:p>
        </w:tc>
        <w:tc>
          <w:tcPr>
            <w:tcW w:w="1980" w:type="dxa"/>
            <w:noWrap w:val="0"/>
            <w:vAlign w:val="center"/>
          </w:tcPr>
          <w:p>
            <w:pPr>
              <w:widowControl/>
              <w:spacing w:line="0" w:lineRule="atLeast"/>
              <w:jc w:val="center"/>
              <w:rPr>
                <w:rFonts w:hint="eastAsia" w:ascii="宋体" w:hAnsi="宋体" w:eastAsia="宋体" w:cs="宋体"/>
              </w:rPr>
            </w:pPr>
            <w:r>
              <w:rPr>
                <w:rFonts w:hint="eastAsia" w:ascii="宋体" w:hAnsi="宋体" w:eastAsia="宋体" w:cs="宋体"/>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900" w:type="dxa"/>
            <w:noWrap w:val="0"/>
            <w:vAlign w:val="center"/>
          </w:tcPr>
          <w:p>
            <w:pPr>
              <w:widowControl/>
              <w:spacing w:line="0" w:lineRule="atLeast"/>
              <w:jc w:val="center"/>
              <w:rPr>
                <w:rFonts w:hint="eastAsia" w:ascii="宋体" w:hAnsi="宋体" w:eastAsia="宋体" w:cs="宋体"/>
                <w:kern w:val="0"/>
              </w:rPr>
            </w:pPr>
            <w:r>
              <w:rPr>
                <w:rFonts w:hint="eastAsia" w:ascii="宋体" w:hAnsi="宋体" w:eastAsia="宋体" w:cs="宋体"/>
                <w:kern w:val="0"/>
              </w:rPr>
              <w:t>2</w:t>
            </w:r>
          </w:p>
        </w:tc>
        <w:tc>
          <w:tcPr>
            <w:tcW w:w="4680" w:type="dxa"/>
            <w:noWrap w:val="0"/>
            <w:vAlign w:val="center"/>
          </w:tcPr>
          <w:p>
            <w:pPr>
              <w:widowControl/>
              <w:spacing w:line="0" w:lineRule="atLeast"/>
              <w:jc w:val="left"/>
              <w:rPr>
                <w:rFonts w:hint="eastAsia" w:ascii="宋体" w:hAnsi="宋体" w:eastAsia="宋体" w:cs="宋体"/>
                <w:kern w:val="0"/>
              </w:rPr>
            </w:pPr>
            <w:r>
              <w:rPr>
                <w:rFonts w:hint="eastAsia" w:ascii="宋体" w:hAnsi="宋体" w:eastAsia="宋体" w:cs="宋体"/>
                <w:kern w:val="0"/>
              </w:rPr>
              <w:t>超过3000元至12000元的部分</w:t>
            </w:r>
          </w:p>
        </w:tc>
        <w:tc>
          <w:tcPr>
            <w:tcW w:w="1440" w:type="dxa"/>
            <w:noWrap w:val="0"/>
            <w:vAlign w:val="center"/>
          </w:tcPr>
          <w:p>
            <w:pPr>
              <w:widowControl/>
              <w:spacing w:line="0" w:lineRule="atLeast"/>
              <w:jc w:val="center"/>
              <w:rPr>
                <w:rFonts w:hint="eastAsia" w:ascii="宋体" w:hAnsi="宋体" w:eastAsia="宋体" w:cs="宋体"/>
                <w:kern w:val="0"/>
              </w:rPr>
            </w:pPr>
            <w:r>
              <w:rPr>
                <w:rFonts w:hint="eastAsia" w:ascii="宋体" w:hAnsi="宋体" w:eastAsia="宋体" w:cs="宋体"/>
                <w:kern w:val="0"/>
              </w:rPr>
              <w:t>10</w:t>
            </w:r>
          </w:p>
        </w:tc>
        <w:tc>
          <w:tcPr>
            <w:tcW w:w="1980" w:type="dxa"/>
            <w:noWrap w:val="0"/>
            <w:vAlign w:val="center"/>
          </w:tcPr>
          <w:p>
            <w:pPr>
              <w:widowControl/>
              <w:spacing w:line="0" w:lineRule="atLeast"/>
              <w:jc w:val="center"/>
              <w:rPr>
                <w:rFonts w:hint="eastAsia" w:ascii="宋体" w:hAnsi="宋体" w:eastAsia="宋体" w:cs="宋体"/>
              </w:rPr>
            </w:pPr>
            <w:r>
              <w:rPr>
                <w:rFonts w:hint="eastAsia" w:ascii="宋体" w:hAnsi="宋体" w:eastAsia="宋体" w:cs="宋体"/>
              </w:rPr>
              <w:t>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900" w:type="dxa"/>
            <w:noWrap w:val="0"/>
            <w:vAlign w:val="center"/>
          </w:tcPr>
          <w:p>
            <w:pPr>
              <w:widowControl/>
              <w:spacing w:line="0" w:lineRule="atLeast"/>
              <w:jc w:val="center"/>
              <w:rPr>
                <w:rFonts w:hint="eastAsia" w:ascii="宋体" w:hAnsi="宋体" w:eastAsia="宋体" w:cs="宋体"/>
                <w:kern w:val="0"/>
              </w:rPr>
            </w:pPr>
            <w:r>
              <w:rPr>
                <w:rFonts w:hint="eastAsia" w:ascii="宋体" w:hAnsi="宋体" w:eastAsia="宋体" w:cs="宋体"/>
                <w:kern w:val="0"/>
              </w:rPr>
              <w:t>3</w:t>
            </w:r>
          </w:p>
        </w:tc>
        <w:tc>
          <w:tcPr>
            <w:tcW w:w="4680" w:type="dxa"/>
            <w:noWrap w:val="0"/>
            <w:vAlign w:val="center"/>
          </w:tcPr>
          <w:p>
            <w:pPr>
              <w:widowControl/>
              <w:spacing w:line="0" w:lineRule="atLeast"/>
              <w:jc w:val="left"/>
              <w:rPr>
                <w:rFonts w:hint="eastAsia" w:ascii="宋体" w:hAnsi="宋体" w:eastAsia="宋体" w:cs="宋体"/>
                <w:kern w:val="0"/>
              </w:rPr>
            </w:pPr>
            <w:r>
              <w:rPr>
                <w:rFonts w:hint="eastAsia" w:ascii="宋体" w:hAnsi="宋体" w:eastAsia="宋体" w:cs="宋体"/>
                <w:kern w:val="0"/>
              </w:rPr>
              <w:t>超过12000元至25000元的部分</w:t>
            </w:r>
          </w:p>
        </w:tc>
        <w:tc>
          <w:tcPr>
            <w:tcW w:w="1440" w:type="dxa"/>
            <w:noWrap w:val="0"/>
            <w:vAlign w:val="center"/>
          </w:tcPr>
          <w:p>
            <w:pPr>
              <w:widowControl/>
              <w:spacing w:line="0" w:lineRule="atLeast"/>
              <w:jc w:val="center"/>
              <w:rPr>
                <w:rFonts w:hint="eastAsia" w:ascii="宋体" w:hAnsi="宋体" w:eastAsia="宋体" w:cs="宋体"/>
                <w:kern w:val="0"/>
              </w:rPr>
            </w:pPr>
            <w:r>
              <w:rPr>
                <w:rFonts w:hint="eastAsia" w:ascii="宋体" w:hAnsi="宋体" w:eastAsia="宋体" w:cs="宋体"/>
                <w:kern w:val="0"/>
              </w:rPr>
              <w:t>20</w:t>
            </w:r>
          </w:p>
        </w:tc>
        <w:tc>
          <w:tcPr>
            <w:tcW w:w="1980" w:type="dxa"/>
            <w:noWrap w:val="0"/>
            <w:vAlign w:val="center"/>
          </w:tcPr>
          <w:p>
            <w:pPr>
              <w:widowControl/>
              <w:spacing w:line="0" w:lineRule="atLeast"/>
              <w:jc w:val="center"/>
              <w:rPr>
                <w:rFonts w:hint="eastAsia" w:ascii="宋体" w:hAnsi="宋体" w:eastAsia="宋体" w:cs="宋体"/>
              </w:rPr>
            </w:pPr>
            <w:r>
              <w:rPr>
                <w:rFonts w:hint="eastAsia" w:ascii="宋体" w:hAnsi="宋体" w:eastAsia="宋体" w:cs="宋体"/>
              </w:rPr>
              <w:t>1410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900" w:type="dxa"/>
            <w:noWrap w:val="0"/>
            <w:vAlign w:val="center"/>
          </w:tcPr>
          <w:p>
            <w:pPr>
              <w:widowControl/>
              <w:spacing w:line="0" w:lineRule="atLeast"/>
              <w:jc w:val="center"/>
              <w:rPr>
                <w:rFonts w:hint="eastAsia" w:ascii="宋体" w:hAnsi="宋体" w:eastAsia="宋体" w:cs="宋体"/>
                <w:kern w:val="0"/>
              </w:rPr>
            </w:pPr>
            <w:r>
              <w:rPr>
                <w:rFonts w:hint="eastAsia" w:ascii="宋体" w:hAnsi="宋体" w:eastAsia="宋体" w:cs="宋体"/>
                <w:kern w:val="0"/>
              </w:rPr>
              <w:t>4</w:t>
            </w:r>
          </w:p>
        </w:tc>
        <w:tc>
          <w:tcPr>
            <w:tcW w:w="4680" w:type="dxa"/>
            <w:noWrap w:val="0"/>
            <w:vAlign w:val="center"/>
          </w:tcPr>
          <w:p>
            <w:pPr>
              <w:widowControl/>
              <w:spacing w:line="0" w:lineRule="atLeast"/>
              <w:jc w:val="left"/>
              <w:rPr>
                <w:rFonts w:hint="eastAsia" w:ascii="宋体" w:hAnsi="宋体" w:eastAsia="宋体" w:cs="宋体"/>
                <w:kern w:val="0"/>
              </w:rPr>
            </w:pPr>
            <w:r>
              <w:rPr>
                <w:rFonts w:hint="eastAsia" w:ascii="宋体" w:hAnsi="宋体" w:eastAsia="宋体" w:cs="宋体"/>
                <w:kern w:val="0"/>
              </w:rPr>
              <w:t>超过25000元至35000元的部分</w:t>
            </w:r>
          </w:p>
        </w:tc>
        <w:tc>
          <w:tcPr>
            <w:tcW w:w="1440" w:type="dxa"/>
            <w:noWrap w:val="0"/>
            <w:vAlign w:val="center"/>
          </w:tcPr>
          <w:p>
            <w:pPr>
              <w:widowControl/>
              <w:spacing w:line="0" w:lineRule="atLeast"/>
              <w:jc w:val="center"/>
              <w:rPr>
                <w:rFonts w:hint="eastAsia" w:ascii="宋体" w:hAnsi="宋体" w:eastAsia="宋体" w:cs="宋体"/>
                <w:kern w:val="0"/>
              </w:rPr>
            </w:pPr>
            <w:r>
              <w:rPr>
                <w:rFonts w:hint="eastAsia" w:ascii="宋体" w:hAnsi="宋体" w:eastAsia="宋体" w:cs="宋体"/>
                <w:kern w:val="0"/>
              </w:rPr>
              <w:t>25</w:t>
            </w:r>
          </w:p>
        </w:tc>
        <w:tc>
          <w:tcPr>
            <w:tcW w:w="1980" w:type="dxa"/>
            <w:noWrap w:val="0"/>
            <w:vAlign w:val="center"/>
          </w:tcPr>
          <w:p>
            <w:pPr>
              <w:widowControl/>
              <w:spacing w:line="0" w:lineRule="atLeast"/>
              <w:jc w:val="center"/>
              <w:rPr>
                <w:rFonts w:hint="eastAsia" w:ascii="宋体" w:hAnsi="宋体" w:eastAsia="宋体" w:cs="宋体"/>
              </w:rPr>
            </w:pPr>
            <w:r>
              <w:rPr>
                <w:rFonts w:hint="eastAsia" w:ascii="宋体" w:hAnsi="宋体" w:eastAsia="宋体" w:cs="宋体"/>
              </w:rPr>
              <w:t>2660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900" w:type="dxa"/>
            <w:noWrap w:val="0"/>
            <w:vAlign w:val="center"/>
          </w:tcPr>
          <w:p>
            <w:pPr>
              <w:widowControl/>
              <w:spacing w:line="0" w:lineRule="atLeast"/>
              <w:jc w:val="center"/>
              <w:rPr>
                <w:rFonts w:hint="eastAsia" w:ascii="宋体" w:hAnsi="宋体" w:eastAsia="宋体" w:cs="宋体"/>
                <w:kern w:val="0"/>
              </w:rPr>
            </w:pPr>
            <w:r>
              <w:rPr>
                <w:rFonts w:hint="eastAsia" w:ascii="宋体" w:hAnsi="宋体" w:eastAsia="宋体" w:cs="宋体"/>
                <w:kern w:val="0"/>
              </w:rPr>
              <w:t>5</w:t>
            </w:r>
          </w:p>
        </w:tc>
        <w:tc>
          <w:tcPr>
            <w:tcW w:w="4680" w:type="dxa"/>
            <w:noWrap w:val="0"/>
            <w:vAlign w:val="center"/>
          </w:tcPr>
          <w:p>
            <w:pPr>
              <w:widowControl/>
              <w:spacing w:line="0" w:lineRule="atLeast"/>
              <w:jc w:val="left"/>
              <w:rPr>
                <w:rFonts w:hint="eastAsia" w:ascii="宋体" w:hAnsi="宋体" w:eastAsia="宋体" w:cs="宋体"/>
                <w:kern w:val="0"/>
              </w:rPr>
            </w:pPr>
            <w:r>
              <w:rPr>
                <w:rFonts w:hint="eastAsia" w:ascii="宋体" w:hAnsi="宋体" w:eastAsia="宋体" w:cs="宋体"/>
                <w:kern w:val="0"/>
              </w:rPr>
              <w:t>超过35000元至55000元的部分</w:t>
            </w:r>
          </w:p>
        </w:tc>
        <w:tc>
          <w:tcPr>
            <w:tcW w:w="1440" w:type="dxa"/>
            <w:noWrap w:val="0"/>
            <w:vAlign w:val="center"/>
          </w:tcPr>
          <w:p>
            <w:pPr>
              <w:widowControl/>
              <w:spacing w:line="0" w:lineRule="atLeast"/>
              <w:jc w:val="center"/>
              <w:rPr>
                <w:rFonts w:hint="eastAsia" w:ascii="宋体" w:hAnsi="宋体" w:eastAsia="宋体" w:cs="宋体"/>
                <w:kern w:val="0"/>
              </w:rPr>
            </w:pPr>
            <w:r>
              <w:rPr>
                <w:rFonts w:hint="eastAsia" w:ascii="宋体" w:hAnsi="宋体" w:eastAsia="宋体" w:cs="宋体"/>
                <w:kern w:val="0"/>
              </w:rPr>
              <w:t>30</w:t>
            </w:r>
          </w:p>
        </w:tc>
        <w:tc>
          <w:tcPr>
            <w:tcW w:w="1980" w:type="dxa"/>
            <w:noWrap w:val="0"/>
            <w:vAlign w:val="center"/>
          </w:tcPr>
          <w:p>
            <w:pPr>
              <w:widowControl/>
              <w:spacing w:line="0" w:lineRule="atLeast"/>
              <w:jc w:val="center"/>
              <w:rPr>
                <w:rFonts w:hint="eastAsia" w:ascii="宋体" w:hAnsi="宋体" w:eastAsia="宋体" w:cs="宋体"/>
              </w:rPr>
            </w:pPr>
            <w:r>
              <w:rPr>
                <w:rFonts w:hint="eastAsia" w:ascii="宋体" w:hAnsi="宋体" w:eastAsia="宋体" w:cs="宋体"/>
              </w:rPr>
              <w:t>4410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900" w:type="dxa"/>
            <w:noWrap w:val="0"/>
            <w:vAlign w:val="center"/>
          </w:tcPr>
          <w:p>
            <w:pPr>
              <w:widowControl/>
              <w:spacing w:line="0" w:lineRule="atLeast"/>
              <w:jc w:val="center"/>
              <w:rPr>
                <w:rFonts w:hint="eastAsia" w:ascii="宋体" w:hAnsi="宋体" w:eastAsia="宋体" w:cs="宋体"/>
                <w:kern w:val="0"/>
              </w:rPr>
            </w:pPr>
            <w:r>
              <w:rPr>
                <w:rFonts w:hint="eastAsia" w:ascii="宋体" w:hAnsi="宋体" w:eastAsia="宋体" w:cs="宋体"/>
                <w:kern w:val="0"/>
              </w:rPr>
              <w:t>6</w:t>
            </w:r>
          </w:p>
        </w:tc>
        <w:tc>
          <w:tcPr>
            <w:tcW w:w="4680" w:type="dxa"/>
            <w:noWrap w:val="0"/>
            <w:vAlign w:val="center"/>
          </w:tcPr>
          <w:p>
            <w:pPr>
              <w:widowControl/>
              <w:spacing w:line="0" w:lineRule="atLeast"/>
              <w:jc w:val="left"/>
              <w:rPr>
                <w:rFonts w:hint="eastAsia" w:ascii="宋体" w:hAnsi="宋体" w:eastAsia="宋体" w:cs="宋体"/>
                <w:kern w:val="0"/>
              </w:rPr>
            </w:pPr>
            <w:r>
              <w:rPr>
                <w:rFonts w:hint="eastAsia" w:ascii="宋体" w:hAnsi="宋体" w:eastAsia="宋体" w:cs="宋体"/>
                <w:kern w:val="0"/>
              </w:rPr>
              <w:t>超过55000元至80000元的部分</w:t>
            </w:r>
          </w:p>
        </w:tc>
        <w:tc>
          <w:tcPr>
            <w:tcW w:w="1440" w:type="dxa"/>
            <w:noWrap w:val="0"/>
            <w:vAlign w:val="center"/>
          </w:tcPr>
          <w:p>
            <w:pPr>
              <w:widowControl/>
              <w:spacing w:line="0" w:lineRule="atLeast"/>
              <w:jc w:val="center"/>
              <w:rPr>
                <w:rFonts w:hint="eastAsia" w:ascii="宋体" w:hAnsi="宋体" w:eastAsia="宋体" w:cs="宋体"/>
                <w:kern w:val="0"/>
              </w:rPr>
            </w:pPr>
            <w:r>
              <w:rPr>
                <w:rFonts w:hint="eastAsia" w:ascii="宋体" w:hAnsi="宋体" w:eastAsia="宋体" w:cs="宋体"/>
                <w:kern w:val="0"/>
              </w:rPr>
              <w:t>35</w:t>
            </w:r>
          </w:p>
        </w:tc>
        <w:tc>
          <w:tcPr>
            <w:tcW w:w="1980" w:type="dxa"/>
            <w:noWrap w:val="0"/>
            <w:vAlign w:val="center"/>
          </w:tcPr>
          <w:p>
            <w:pPr>
              <w:widowControl/>
              <w:spacing w:line="0" w:lineRule="atLeast"/>
              <w:jc w:val="center"/>
              <w:rPr>
                <w:rFonts w:hint="eastAsia" w:ascii="宋体" w:hAnsi="宋体" w:eastAsia="宋体" w:cs="宋体"/>
              </w:rPr>
            </w:pPr>
            <w:r>
              <w:rPr>
                <w:rFonts w:hint="eastAsia" w:ascii="宋体" w:hAnsi="宋体" w:eastAsia="宋体" w:cs="宋体"/>
              </w:rPr>
              <w:t>7160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900" w:type="dxa"/>
            <w:noWrap w:val="0"/>
            <w:vAlign w:val="center"/>
          </w:tcPr>
          <w:p>
            <w:pPr>
              <w:widowControl/>
              <w:spacing w:line="0" w:lineRule="atLeast"/>
              <w:jc w:val="center"/>
              <w:rPr>
                <w:rFonts w:hint="eastAsia" w:ascii="宋体" w:hAnsi="宋体" w:eastAsia="宋体" w:cs="宋体"/>
                <w:kern w:val="0"/>
              </w:rPr>
            </w:pPr>
            <w:r>
              <w:rPr>
                <w:rFonts w:hint="eastAsia" w:ascii="宋体" w:hAnsi="宋体" w:eastAsia="宋体" w:cs="宋体"/>
                <w:kern w:val="0"/>
              </w:rPr>
              <w:t>7</w:t>
            </w:r>
          </w:p>
        </w:tc>
        <w:tc>
          <w:tcPr>
            <w:tcW w:w="4680" w:type="dxa"/>
            <w:noWrap w:val="0"/>
            <w:vAlign w:val="center"/>
          </w:tcPr>
          <w:p>
            <w:pPr>
              <w:widowControl/>
              <w:spacing w:line="0" w:lineRule="atLeast"/>
              <w:jc w:val="left"/>
              <w:rPr>
                <w:rFonts w:hint="eastAsia" w:ascii="宋体" w:hAnsi="宋体" w:eastAsia="宋体" w:cs="宋体"/>
                <w:kern w:val="0"/>
              </w:rPr>
            </w:pPr>
            <w:r>
              <w:rPr>
                <w:rFonts w:hint="eastAsia" w:ascii="宋体" w:hAnsi="宋体" w:eastAsia="宋体" w:cs="宋体"/>
                <w:kern w:val="0"/>
              </w:rPr>
              <w:t>超过80000元的部分</w:t>
            </w:r>
          </w:p>
        </w:tc>
        <w:tc>
          <w:tcPr>
            <w:tcW w:w="1440" w:type="dxa"/>
            <w:noWrap w:val="0"/>
            <w:vAlign w:val="center"/>
          </w:tcPr>
          <w:p>
            <w:pPr>
              <w:widowControl/>
              <w:spacing w:line="0" w:lineRule="atLeast"/>
              <w:jc w:val="center"/>
              <w:rPr>
                <w:rFonts w:hint="eastAsia" w:ascii="宋体" w:hAnsi="宋体" w:eastAsia="宋体" w:cs="宋体"/>
                <w:kern w:val="0"/>
              </w:rPr>
            </w:pPr>
            <w:r>
              <w:rPr>
                <w:rFonts w:hint="eastAsia" w:ascii="宋体" w:hAnsi="宋体" w:eastAsia="宋体" w:cs="宋体"/>
                <w:kern w:val="0"/>
              </w:rPr>
              <w:t>45</w:t>
            </w:r>
          </w:p>
        </w:tc>
        <w:tc>
          <w:tcPr>
            <w:tcW w:w="1980" w:type="dxa"/>
            <w:noWrap w:val="0"/>
            <w:vAlign w:val="center"/>
          </w:tcPr>
          <w:p>
            <w:pPr>
              <w:widowControl/>
              <w:spacing w:line="0" w:lineRule="atLeast"/>
              <w:jc w:val="center"/>
              <w:rPr>
                <w:rFonts w:hint="eastAsia" w:ascii="宋体" w:hAnsi="宋体" w:eastAsia="宋体" w:cs="宋体"/>
              </w:rPr>
            </w:pPr>
            <w:r>
              <w:rPr>
                <w:rFonts w:hint="eastAsia" w:ascii="宋体" w:hAnsi="宋体" w:eastAsia="宋体" w:cs="宋体"/>
              </w:rPr>
              <w:t>15160</w:t>
            </w:r>
          </w:p>
        </w:tc>
      </w:tr>
    </w:tbl>
    <w:p>
      <w:pPr>
        <w:pStyle w:val="2"/>
        <w:widowControl/>
        <w:shd w:val="clear" w:color="auto" w:fill="FFFFFF"/>
        <w:spacing w:before="0" w:beforeAutospacing="0" w:after="0" w:afterAutospacing="0" w:line="520" w:lineRule="exact"/>
        <w:ind w:firstLine="480" w:firstLineChars="200"/>
        <w:jc w:val="both"/>
      </w:pPr>
    </w:p>
    <w:p>
      <w:pPr>
        <w:widowControl/>
        <w:shd w:val="clear" w:color="auto" w:fill="FFFFFF"/>
        <w:spacing w:line="0" w:lineRule="atLeast"/>
        <w:jc w:val="center"/>
        <w:rPr>
          <w:rFonts w:hint="eastAsia" w:ascii="方正小标宋简体" w:hAnsi="黑体" w:eastAsia="方正小标宋简体" w:cs="宋体"/>
          <w:kern w:val="0"/>
          <w:sz w:val="36"/>
          <w:szCs w:val="36"/>
        </w:rPr>
      </w:pPr>
      <w:r>
        <w:rPr>
          <w:rFonts w:hint="eastAsia" w:ascii="方正小标宋简体" w:hAnsi="黑体" w:eastAsia="方正小标宋简体" w:cs="宋体"/>
          <w:kern w:val="0"/>
          <w:sz w:val="36"/>
          <w:szCs w:val="36"/>
        </w:rPr>
        <w:t>按月换算后的综合所得税率表</w:t>
      </w:r>
    </w:p>
    <w:tbl>
      <w:tblPr>
        <w:tblStyle w:val="4"/>
        <w:tblW w:w="9015" w:type="dxa"/>
        <w:tblInd w:w="-34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900"/>
        <w:gridCol w:w="4695"/>
        <w:gridCol w:w="1425"/>
        <w:gridCol w:w="199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425" w:hRule="atLeast"/>
        </w:trPr>
        <w:tc>
          <w:tcPr>
            <w:tcW w:w="900"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级数</w:t>
            </w:r>
          </w:p>
        </w:tc>
        <w:tc>
          <w:tcPr>
            <w:tcW w:w="469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全月应纳税所得额</w:t>
            </w:r>
          </w:p>
        </w:tc>
        <w:tc>
          <w:tcPr>
            <w:tcW w:w="142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税率（%）</w:t>
            </w:r>
          </w:p>
        </w:tc>
        <w:tc>
          <w:tcPr>
            <w:tcW w:w="199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速算扣除数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61" w:hRule="atLeast"/>
        </w:trPr>
        <w:tc>
          <w:tcPr>
            <w:tcW w:w="900"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1</w:t>
            </w:r>
          </w:p>
        </w:tc>
        <w:tc>
          <w:tcPr>
            <w:tcW w:w="469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不超过3000元的</w:t>
            </w:r>
          </w:p>
        </w:tc>
        <w:tc>
          <w:tcPr>
            <w:tcW w:w="142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3</w:t>
            </w:r>
          </w:p>
        </w:tc>
        <w:tc>
          <w:tcPr>
            <w:tcW w:w="199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51" w:hRule="atLeast"/>
        </w:trPr>
        <w:tc>
          <w:tcPr>
            <w:tcW w:w="900"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2</w:t>
            </w:r>
          </w:p>
        </w:tc>
        <w:tc>
          <w:tcPr>
            <w:tcW w:w="469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超过3000元至12000元的部分</w:t>
            </w:r>
          </w:p>
        </w:tc>
        <w:tc>
          <w:tcPr>
            <w:tcW w:w="142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10</w:t>
            </w:r>
          </w:p>
        </w:tc>
        <w:tc>
          <w:tcPr>
            <w:tcW w:w="199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210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35" w:hRule="atLeast"/>
        </w:trPr>
        <w:tc>
          <w:tcPr>
            <w:tcW w:w="900"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3</w:t>
            </w:r>
          </w:p>
        </w:tc>
        <w:tc>
          <w:tcPr>
            <w:tcW w:w="469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超过12000元至25000元的部分</w:t>
            </w:r>
          </w:p>
        </w:tc>
        <w:tc>
          <w:tcPr>
            <w:tcW w:w="142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20</w:t>
            </w:r>
          </w:p>
        </w:tc>
        <w:tc>
          <w:tcPr>
            <w:tcW w:w="199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1410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50" w:hRule="atLeast"/>
        </w:trPr>
        <w:tc>
          <w:tcPr>
            <w:tcW w:w="900"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4</w:t>
            </w:r>
          </w:p>
        </w:tc>
        <w:tc>
          <w:tcPr>
            <w:tcW w:w="469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超过25000元至35000元的部分</w:t>
            </w:r>
          </w:p>
        </w:tc>
        <w:tc>
          <w:tcPr>
            <w:tcW w:w="142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25</w:t>
            </w:r>
          </w:p>
        </w:tc>
        <w:tc>
          <w:tcPr>
            <w:tcW w:w="199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2660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35" w:hRule="atLeast"/>
        </w:trPr>
        <w:tc>
          <w:tcPr>
            <w:tcW w:w="900"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5</w:t>
            </w:r>
          </w:p>
        </w:tc>
        <w:tc>
          <w:tcPr>
            <w:tcW w:w="469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超过35000元至55000元的部分</w:t>
            </w:r>
          </w:p>
        </w:tc>
        <w:tc>
          <w:tcPr>
            <w:tcW w:w="142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30</w:t>
            </w:r>
          </w:p>
        </w:tc>
        <w:tc>
          <w:tcPr>
            <w:tcW w:w="199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4410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30" w:hRule="atLeast"/>
        </w:trPr>
        <w:tc>
          <w:tcPr>
            <w:tcW w:w="900"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6</w:t>
            </w:r>
          </w:p>
        </w:tc>
        <w:tc>
          <w:tcPr>
            <w:tcW w:w="469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超过55000元至80000元的部分</w:t>
            </w:r>
          </w:p>
        </w:tc>
        <w:tc>
          <w:tcPr>
            <w:tcW w:w="142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35</w:t>
            </w:r>
          </w:p>
        </w:tc>
        <w:tc>
          <w:tcPr>
            <w:tcW w:w="199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7160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08" w:hRule="atLeast"/>
        </w:trPr>
        <w:tc>
          <w:tcPr>
            <w:tcW w:w="900"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7</w:t>
            </w:r>
          </w:p>
        </w:tc>
        <w:tc>
          <w:tcPr>
            <w:tcW w:w="469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超过80000元的部分</w:t>
            </w:r>
          </w:p>
        </w:tc>
        <w:tc>
          <w:tcPr>
            <w:tcW w:w="142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45</w:t>
            </w:r>
          </w:p>
        </w:tc>
        <w:tc>
          <w:tcPr>
            <w:tcW w:w="1995" w:type="dxa"/>
            <w:tcBorders>
              <w:top w:val="outset" w:color="000000" w:sz="6" w:space="0"/>
              <w:left w:val="outset" w:color="000000" w:sz="6" w:space="0"/>
              <w:bottom w:val="outset" w:color="000000" w:sz="6" w:space="0"/>
              <w:right w:val="outset" w:color="000000" w:sz="6" w:space="0"/>
            </w:tcBorders>
            <w:shd w:val="clear" w:color="auto" w:fill="auto"/>
            <w:vAlign w:val="top"/>
          </w:tcPr>
          <w:p>
            <w:pPr>
              <w:widowControl/>
              <w:spacing w:line="0" w:lineRule="atLeast"/>
              <w:jc w:val="left"/>
              <w:rPr>
                <w:rFonts w:hint="eastAsia" w:ascii="宋体" w:hAnsi="宋体" w:eastAsia="宋体" w:cs="宋体"/>
                <w:kern w:val="0"/>
              </w:rPr>
            </w:pPr>
            <w:r>
              <w:rPr>
                <w:rFonts w:hint="eastAsia" w:ascii="宋体" w:hAnsi="宋体" w:eastAsia="宋体" w:cs="宋体"/>
                <w:kern w:val="0"/>
              </w:rPr>
              <w:t>15160</w:t>
            </w:r>
          </w:p>
        </w:tc>
      </w:tr>
    </w:tbl>
    <w:p>
      <w:pPr>
        <w:pStyle w:val="2"/>
        <w:widowControl/>
        <w:shd w:val="clear" w:color="auto" w:fill="FFFFFF"/>
        <w:spacing w:before="0" w:beforeAutospacing="0" w:after="0" w:afterAutospacing="0" w:line="520" w:lineRule="exact"/>
        <w:ind w:firstLine="480" w:firstLineChars="200"/>
        <w:jc w:val="both"/>
      </w:pPr>
    </w:p>
    <w:p>
      <w:pPr>
        <w:pStyle w:val="2"/>
        <w:widowControl/>
        <w:shd w:val="clear" w:color="auto" w:fill="FFFFFF"/>
        <w:spacing w:before="0" w:beforeAutospacing="0" w:after="0" w:afterAutospacing="0" w:line="520" w:lineRule="exact"/>
        <w:ind w:firstLine="480" w:firstLineChars="200"/>
        <w:jc w:val="both"/>
      </w:pPr>
    </w:p>
    <w:p>
      <w:pPr>
        <w:pStyle w:val="2"/>
        <w:widowControl/>
        <w:shd w:val="clear" w:color="auto" w:fill="FFFFFF"/>
        <w:spacing w:before="0" w:beforeAutospacing="0" w:after="0" w:afterAutospacing="0" w:line="520" w:lineRule="exact"/>
        <w:ind w:firstLine="480" w:firstLineChars="200"/>
        <w:jc w:val="both"/>
      </w:pPr>
    </w:p>
    <w:p>
      <w:pPr>
        <w:pStyle w:val="2"/>
        <w:widowControl/>
        <w:shd w:val="clear" w:color="auto" w:fill="FFFFFF"/>
        <w:spacing w:before="0" w:beforeAutospacing="0" w:after="0" w:afterAutospacing="0" w:line="520" w:lineRule="exact"/>
        <w:ind w:firstLine="480" w:firstLineChars="200"/>
        <w:jc w:val="both"/>
      </w:pPr>
    </w:p>
    <w:p>
      <w:pPr>
        <w:pStyle w:val="2"/>
        <w:widowControl/>
        <w:shd w:val="clear" w:color="auto" w:fill="FFFFFF"/>
        <w:spacing w:before="0" w:beforeAutospacing="0" w:after="0" w:afterAutospacing="0" w:line="520" w:lineRule="exact"/>
        <w:ind w:firstLine="480" w:firstLineChars="200"/>
        <w:jc w:val="both"/>
      </w:pPr>
    </w:p>
    <w:p>
      <w:pPr>
        <w:rPr>
          <w:rFonts w:hint="eastAsia" w:ascii="仿宋" w:hAnsi="仿宋" w:eastAsia="仿宋" w:cs="仿宋"/>
          <w:sz w:val="32"/>
          <w:szCs w:val="32"/>
        </w:rPr>
      </w:pPr>
      <w:bookmarkStart w:id="0" w:name="_GoBack"/>
      <w:bookmarkEnd w:id="0"/>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34061"/>
    <w:multiLevelType w:val="singleLevel"/>
    <w:tmpl w:val="36B3406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471DE"/>
    <w:rsid w:val="1BD13E20"/>
    <w:rsid w:val="27D471DE"/>
    <w:rsid w:val="6E0E4F07"/>
    <w:rsid w:val="75E36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2019-05-27T07:37:00Z</dcterms:created>
  <dc:creator>王枫</dc:creator>
  <cp:lastModifiedBy> </cp:lastModifiedBy>
  <dcterms:modified xsi:type="dcterms:W3CDTF">2019-06-03T07:23:47Z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