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FA" w:rsidRDefault="006C72FA" w:rsidP="006C72FA">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企业所得税汇总纳税总分机构信息备案表</w:t>
      </w:r>
    </w:p>
    <w:p w:rsidR="006C72FA" w:rsidRDefault="006C72FA" w:rsidP="006C72FA">
      <w:pPr>
        <w:pStyle w:val="1"/>
        <w:ind w:firstLine="105"/>
        <w:jc w:val="center"/>
        <w:rPr>
          <w:rFonts w:ascii="宋体" w:hAnsi="宋体"/>
          <w:color w:val="000000"/>
        </w:rPr>
      </w:pPr>
    </w:p>
    <w:tbl>
      <w:tblPr>
        <w:tblpPr w:leftFromText="180" w:rightFromText="180" w:vertAnchor="text" w:horzAnchor="page" w:tblpX="829" w:tblpY="311"/>
        <w:tblW w:w="51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1"/>
        <w:gridCol w:w="968"/>
        <w:gridCol w:w="641"/>
        <w:gridCol w:w="97"/>
        <w:gridCol w:w="411"/>
        <w:gridCol w:w="751"/>
        <w:gridCol w:w="1201"/>
        <w:gridCol w:w="971"/>
        <w:gridCol w:w="752"/>
        <w:gridCol w:w="642"/>
        <w:gridCol w:w="642"/>
        <w:gridCol w:w="978"/>
        <w:gridCol w:w="642"/>
        <w:gridCol w:w="938"/>
        <w:gridCol w:w="938"/>
        <w:gridCol w:w="1674"/>
        <w:gridCol w:w="849"/>
        <w:gridCol w:w="849"/>
        <w:gridCol w:w="629"/>
        <w:gridCol w:w="456"/>
      </w:tblGrid>
      <w:tr w:rsidR="006C72FA" w:rsidTr="006C72FA">
        <w:trPr>
          <w:trHeight w:val="507"/>
        </w:trPr>
        <w:tc>
          <w:tcPr>
            <w:tcW w:w="735" w:type="pct"/>
            <w:gridSpan w:val="3"/>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纳税人识别号</w:t>
            </w:r>
          </w:p>
        </w:tc>
        <w:tc>
          <w:tcPr>
            <w:tcW w:w="1535" w:type="pct"/>
            <w:gridSpan w:val="7"/>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14" w:type="pct"/>
            <w:gridSpan w:val="2"/>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纳税人名称</w:t>
            </w:r>
          </w:p>
        </w:tc>
        <w:tc>
          <w:tcPr>
            <w:tcW w:w="2216" w:type="pct"/>
            <w:gridSpan w:val="8"/>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557"/>
        </w:trPr>
        <w:tc>
          <w:tcPr>
            <w:tcW w:w="735" w:type="pct"/>
            <w:gridSpan w:val="3"/>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color w:val="000000"/>
                <w:sz w:val="24"/>
              </w:rPr>
              <w:t> </w:t>
            </w:r>
            <w:r>
              <w:rPr>
                <w:rFonts w:ascii="宋体" w:hAnsi="宋体" w:hint="eastAsia"/>
                <w:sz w:val="24"/>
              </w:rPr>
              <w:t>法定代表人（负责人）</w:t>
            </w:r>
          </w:p>
        </w:tc>
        <w:tc>
          <w:tcPr>
            <w:tcW w:w="1092" w:type="pct"/>
            <w:gridSpan w:val="5"/>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443" w:type="pct"/>
            <w:gridSpan w:val="2"/>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color w:val="000000"/>
                <w:sz w:val="24"/>
              </w:rPr>
              <w:t> </w:t>
            </w:r>
            <w:r>
              <w:rPr>
                <w:rFonts w:ascii="宋体" w:hAnsi="宋体" w:hint="eastAsia"/>
                <w:sz w:val="24"/>
              </w:rPr>
              <w:t>注册地址</w:t>
            </w:r>
          </w:p>
        </w:tc>
        <w:tc>
          <w:tcPr>
            <w:tcW w:w="1846" w:type="pct"/>
            <w:gridSpan w:val="6"/>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color w:val="000000"/>
                <w:sz w:val="24"/>
              </w:rPr>
              <w:t> </w:t>
            </w:r>
          </w:p>
        </w:tc>
        <w:tc>
          <w:tcPr>
            <w:tcW w:w="540" w:type="pct"/>
            <w:gridSpan w:val="2"/>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注册地邮政编码</w:t>
            </w:r>
            <w:r>
              <w:rPr>
                <w:rFonts w:ascii="宋体" w:hAnsi="宋体"/>
                <w:color w:val="000000"/>
                <w:sz w:val="24"/>
              </w:rPr>
              <w:t> </w:t>
            </w:r>
          </w:p>
        </w:tc>
        <w:tc>
          <w:tcPr>
            <w:tcW w:w="345" w:type="pct"/>
            <w:gridSpan w:val="2"/>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color w:val="000000"/>
                <w:sz w:val="24"/>
              </w:rPr>
              <w:t> </w:t>
            </w:r>
          </w:p>
        </w:tc>
      </w:tr>
      <w:tr w:rsidR="006C72FA" w:rsidTr="006C72FA">
        <w:trPr>
          <w:trHeight w:val="1588"/>
        </w:trPr>
        <w:tc>
          <w:tcPr>
            <w:tcW w:w="223"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纳税人识别号</w:t>
            </w:r>
          </w:p>
        </w:tc>
        <w:tc>
          <w:tcPr>
            <w:tcW w:w="308"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纳税人名称</w:t>
            </w:r>
          </w:p>
        </w:tc>
        <w:tc>
          <w:tcPr>
            <w:tcW w:w="204"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总分机构类型</w:t>
            </w:r>
          </w:p>
        </w:tc>
        <w:tc>
          <w:tcPr>
            <w:tcW w:w="162" w:type="pct"/>
            <w:gridSpan w:val="2"/>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跨地区转移类型</w:t>
            </w:r>
          </w:p>
        </w:tc>
        <w:tc>
          <w:tcPr>
            <w:tcW w:w="239"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分支机构层级</w:t>
            </w:r>
          </w:p>
        </w:tc>
        <w:tc>
          <w:tcPr>
            <w:tcW w:w="380"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分支机构是否继续分配</w:t>
            </w:r>
          </w:p>
        </w:tc>
        <w:tc>
          <w:tcPr>
            <w:tcW w:w="309"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不同税率地区标识</w:t>
            </w:r>
          </w:p>
        </w:tc>
        <w:tc>
          <w:tcPr>
            <w:tcW w:w="239"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就地缴纳标识</w:t>
            </w:r>
          </w:p>
        </w:tc>
        <w:tc>
          <w:tcPr>
            <w:tcW w:w="204"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不就地缴纳原因</w:t>
            </w:r>
          </w:p>
        </w:tc>
        <w:tc>
          <w:tcPr>
            <w:tcW w:w="204"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汇缴企业类型</w:t>
            </w:r>
          </w:p>
        </w:tc>
        <w:tc>
          <w:tcPr>
            <w:tcW w:w="311"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月（季）度就地预缴比例</w:t>
            </w:r>
          </w:p>
        </w:tc>
        <w:tc>
          <w:tcPr>
            <w:tcW w:w="204"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年度就地预缴比例</w:t>
            </w:r>
          </w:p>
        </w:tc>
        <w:tc>
          <w:tcPr>
            <w:tcW w:w="298"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月（季）度预缴预算科目</w:t>
            </w:r>
          </w:p>
        </w:tc>
        <w:tc>
          <w:tcPr>
            <w:tcW w:w="298"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月（季）度预缴预算级次</w:t>
            </w:r>
          </w:p>
        </w:tc>
        <w:tc>
          <w:tcPr>
            <w:tcW w:w="532" w:type="pct"/>
            <w:tcMar>
              <w:top w:w="0" w:type="dxa"/>
              <w:left w:w="108" w:type="dxa"/>
              <w:bottom w:w="0" w:type="dxa"/>
              <w:right w:w="108" w:type="dxa"/>
            </w:tcMar>
            <w:vAlign w:val="center"/>
          </w:tcPr>
          <w:p w:rsidR="006C72FA" w:rsidRDefault="006C72FA" w:rsidP="006C72FA">
            <w:pPr>
              <w:pStyle w:val="1"/>
              <w:jc w:val="center"/>
              <w:rPr>
                <w:sz w:val="24"/>
              </w:rPr>
            </w:pPr>
            <w:r>
              <w:rPr>
                <w:rFonts w:hint="eastAsia"/>
                <w:sz w:val="24"/>
              </w:rPr>
              <w:t>年度汇算清</w:t>
            </w:r>
          </w:p>
          <w:p w:rsidR="006C72FA" w:rsidRDefault="006C72FA" w:rsidP="006C72FA">
            <w:pPr>
              <w:pStyle w:val="1"/>
              <w:jc w:val="center"/>
              <w:rPr>
                <w:color w:val="000000"/>
                <w:sz w:val="24"/>
              </w:rPr>
            </w:pPr>
            <w:r>
              <w:rPr>
                <w:rFonts w:hint="eastAsia"/>
                <w:sz w:val="24"/>
              </w:rPr>
              <w:t>缴预算科目</w:t>
            </w:r>
          </w:p>
        </w:tc>
        <w:tc>
          <w:tcPr>
            <w:tcW w:w="270"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年度汇算清缴预算级次</w:t>
            </w:r>
          </w:p>
        </w:tc>
        <w:tc>
          <w:tcPr>
            <w:tcW w:w="270"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参与年度汇算清缴标识</w:t>
            </w:r>
          </w:p>
        </w:tc>
        <w:tc>
          <w:tcPr>
            <w:tcW w:w="200"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有效期起</w:t>
            </w:r>
          </w:p>
        </w:tc>
        <w:tc>
          <w:tcPr>
            <w:tcW w:w="145" w:type="pct"/>
            <w:tcMar>
              <w:top w:w="0" w:type="dxa"/>
              <w:left w:w="108" w:type="dxa"/>
              <w:bottom w:w="0" w:type="dxa"/>
              <w:right w:w="108" w:type="dxa"/>
            </w:tcMar>
            <w:vAlign w:val="center"/>
          </w:tcPr>
          <w:p w:rsidR="006C72FA" w:rsidRDefault="006C72FA" w:rsidP="006C72FA">
            <w:pPr>
              <w:pStyle w:val="1"/>
              <w:jc w:val="center"/>
              <w:rPr>
                <w:color w:val="000000"/>
                <w:sz w:val="24"/>
              </w:rPr>
            </w:pPr>
            <w:r>
              <w:rPr>
                <w:rFonts w:hint="eastAsia"/>
                <w:sz w:val="24"/>
              </w:rPr>
              <w:t>有效期止</w:t>
            </w:r>
          </w:p>
        </w:tc>
      </w:tr>
      <w:tr w:rsidR="006C72FA" w:rsidTr="006C72FA">
        <w:trPr>
          <w:trHeight w:val="461"/>
        </w:trPr>
        <w:tc>
          <w:tcPr>
            <w:tcW w:w="223"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8"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62" w:type="pct"/>
            <w:gridSpan w:val="2"/>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80"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9"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11"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04"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532"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0"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45" w:type="pct"/>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223"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8"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62" w:type="pct"/>
            <w:gridSpan w:val="2"/>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80"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9"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11"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04"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532"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0"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45" w:type="pct"/>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223"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8"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62"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8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9"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11"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532"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45"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223"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8"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62"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8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09"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39"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11"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04"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98"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532"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color w:val="000000"/>
                <w:sz w:val="24"/>
              </w:rPr>
              <w:t>--</w:t>
            </w:r>
          </w:p>
        </w:tc>
        <w:tc>
          <w:tcPr>
            <w:tcW w:w="27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200"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145" w:type="pct"/>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5000" w:type="pct"/>
            <w:gridSpan w:val="20"/>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黑体" w:eastAsia="黑体" w:hAnsi="宋体"/>
                <w:color w:val="000000"/>
                <w:sz w:val="24"/>
              </w:rPr>
            </w:pPr>
            <w:r>
              <w:rPr>
                <w:rFonts w:ascii="黑体" w:eastAsia="黑体" w:hAnsi="宋体" w:hint="eastAsia"/>
                <w:sz w:val="24"/>
              </w:rPr>
              <w:t>上级机构信息</w:t>
            </w:r>
          </w:p>
        </w:tc>
      </w:tr>
      <w:tr w:rsidR="006C72FA" w:rsidTr="006C72FA">
        <w:trPr>
          <w:trHeight w:val="461"/>
        </w:trPr>
        <w:tc>
          <w:tcPr>
            <w:tcW w:w="766" w:type="pct"/>
            <w:gridSpan w:val="4"/>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纳税人识别号</w:t>
            </w:r>
          </w:p>
        </w:tc>
        <w:tc>
          <w:tcPr>
            <w:tcW w:w="752" w:type="pct"/>
            <w:gridSpan w:val="3"/>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纳税人名称</w:t>
            </w:r>
          </w:p>
        </w:tc>
        <w:tc>
          <w:tcPr>
            <w:tcW w:w="752" w:type="pct"/>
            <w:gridSpan w:val="3"/>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主管税务科所</w:t>
            </w:r>
          </w:p>
        </w:tc>
        <w:tc>
          <w:tcPr>
            <w:tcW w:w="514" w:type="pct"/>
            <w:gridSpan w:val="2"/>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总分机构类型</w:t>
            </w:r>
          </w:p>
        </w:tc>
        <w:tc>
          <w:tcPr>
            <w:tcW w:w="501" w:type="pct"/>
            <w:gridSpan w:val="2"/>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跨地区转移类型</w:t>
            </w:r>
          </w:p>
        </w:tc>
        <w:tc>
          <w:tcPr>
            <w:tcW w:w="830" w:type="pct"/>
            <w:gridSpan w:val="2"/>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分支机构层级</w:t>
            </w:r>
          </w:p>
        </w:tc>
        <w:tc>
          <w:tcPr>
            <w:tcW w:w="540" w:type="pct"/>
            <w:gridSpan w:val="2"/>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就地缴纳标识</w:t>
            </w:r>
          </w:p>
        </w:tc>
        <w:tc>
          <w:tcPr>
            <w:tcW w:w="345" w:type="pct"/>
            <w:gridSpan w:val="2"/>
            <w:tcBorders>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汇缴企业类型</w:t>
            </w:r>
          </w:p>
        </w:tc>
      </w:tr>
      <w:tr w:rsidR="006C72FA" w:rsidTr="006C72FA">
        <w:trPr>
          <w:trHeight w:val="461"/>
        </w:trPr>
        <w:tc>
          <w:tcPr>
            <w:tcW w:w="766" w:type="pct"/>
            <w:gridSpan w:val="4"/>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14"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01"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83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4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45"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5000" w:type="pct"/>
            <w:gridSpan w:val="20"/>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黑体" w:eastAsia="黑体" w:hAnsi="宋体"/>
                <w:color w:val="000000"/>
                <w:sz w:val="24"/>
              </w:rPr>
            </w:pPr>
            <w:r>
              <w:rPr>
                <w:rFonts w:ascii="黑体" w:eastAsia="黑体" w:hAnsi="宋体" w:hint="eastAsia"/>
                <w:sz w:val="24"/>
              </w:rPr>
              <w:t>分支机构信息</w:t>
            </w:r>
          </w:p>
        </w:tc>
      </w:tr>
      <w:tr w:rsidR="006C72FA" w:rsidTr="006C72FA">
        <w:trPr>
          <w:trHeight w:val="461"/>
        </w:trPr>
        <w:tc>
          <w:tcPr>
            <w:tcW w:w="766" w:type="pct"/>
            <w:gridSpan w:val="4"/>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纳税人识别号</w:t>
            </w: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纳税人名称</w:t>
            </w: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主管税务科所</w:t>
            </w:r>
          </w:p>
        </w:tc>
        <w:tc>
          <w:tcPr>
            <w:tcW w:w="514"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总分机构类型</w:t>
            </w:r>
          </w:p>
        </w:tc>
        <w:tc>
          <w:tcPr>
            <w:tcW w:w="501"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跨地区转移类型</w:t>
            </w:r>
          </w:p>
        </w:tc>
        <w:tc>
          <w:tcPr>
            <w:tcW w:w="83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分支机构层级</w:t>
            </w:r>
          </w:p>
        </w:tc>
        <w:tc>
          <w:tcPr>
            <w:tcW w:w="54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就地缴纳标识</w:t>
            </w:r>
          </w:p>
        </w:tc>
        <w:tc>
          <w:tcPr>
            <w:tcW w:w="345"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ascii="宋体" w:hAnsi="宋体" w:hint="eastAsia"/>
                <w:sz w:val="24"/>
              </w:rPr>
              <w:t>汇缴企业类型</w:t>
            </w:r>
          </w:p>
        </w:tc>
      </w:tr>
      <w:tr w:rsidR="006C72FA" w:rsidTr="006C72FA">
        <w:trPr>
          <w:trHeight w:val="461"/>
        </w:trPr>
        <w:tc>
          <w:tcPr>
            <w:tcW w:w="766" w:type="pct"/>
            <w:gridSpan w:val="4"/>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14"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01"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83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4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45"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766" w:type="pct"/>
            <w:gridSpan w:val="4"/>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14"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01"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83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4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45"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766" w:type="pct"/>
            <w:gridSpan w:val="4"/>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14"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01"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83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40"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345"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766" w:type="pct"/>
            <w:gridSpan w:val="4"/>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hint="eastAsia"/>
              </w:rPr>
              <w:t>经办人</w:t>
            </w:r>
          </w:p>
        </w:tc>
        <w:tc>
          <w:tcPr>
            <w:tcW w:w="2018" w:type="pct"/>
            <w:gridSpan w:val="8"/>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01" w:type="pct"/>
            <w:gridSpan w:val="2"/>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hint="eastAsia"/>
              </w:rPr>
              <w:t>报告</w:t>
            </w:r>
            <w:r>
              <w:t>日期</w:t>
            </w:r>
          </w:p>
        </w:tc>
        <w:tc>
          <w:tcPr>
            <w:tcW w:w="1715" w:type="pct"/>
            <w:gridSpan w:val="6"/>
            <w:tcBorders>
              <w:top w:val="single" w:sz="4" w:space="0" w:color="auto"/>
              <w:bottom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r w:rsidR="006C72FA" w:rsidTr="006C72FA">
        <w:trPr>
          <w:trHeight w:val="461"/>
        </w:trPr>
        <w:tc>
          <w:tcPr>
            <w:tcW w:w="766" w:type="pct"/>
            <w:gridSpan w:val="4"/>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hint="eastAsia"/>
              </w:rPr>
              <w:t>受理人</w:t>
            </w:r>
          </w:p>
        </w:tc>
        <w:tc>
          <w:tcPr>
            <w:tcW w:w="752" w:type="pct"/>
            <w:gridSpan w:val="3"/>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752" w:type="pct"/>
            <w:gridSpan w:val="3"/>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hint="eastAsia"/>
              </w:rPr>
              <w:t>受理日期</w:t>
            </w:r>
          </w:p>
        </w:tc>
        <w:tc>
          <w:tcPr>
            <w:tcW w:w="514" w:type="pct"/>
            <w:gridSpan w:val="2"/>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c>
          <w:tcPr>
            <w:tcW w:w="501" w:type="pct"/>
            <w:gridSpan w:val="2"/>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r>
              <w:rPr>
                <w:rFonts w:hint="eastAsia"/>
              </w:rPr>
              <w:t>主管</w:t>
            </w:r>
            <w:r>
              <w:t>税务机关</w:t>
            </w:r>
          </w:p>
        </w:tc>
        <w:tc>
          <w:tcPr>
            <w:tcW w:w="1715" w:type="pct"/>
            <w:gridSpan w:val="6"/>
            <w:tcBorders>
              <w:top w:val="single" w:sz="4" w:space="0" w:color="auto"/>
            </w:tcBorders>
            <w:tcMar>
              <w:top w:w="0" w:type="dxa"/>
              <w:left w:w="108" w:type="dxa"/>
              <w:bottom w:w="0" w:type="dxa"/>
              <w:right w:w="108" w:type="dxa"/>
            </w:tcMar>
            <w:vAlign w:val="center"/>
          </w:tcPr>
          <w:p w:rsidR="006C72FA" w:rsidRDefault="006C72FA" w:rsidP="006C72FA">
            <w:pPr>
              <w:pStyle w:val="1"/>
              <w:jc w:val="center"/>
              <w:rPr>
                <w:rFonts w:ascii="宋体" w:hAnsi="宋体"/>
                <w:color w:val="000000"/>
                <w:sz w:val="24"/>
              </w:rPr>
            </w:pPr>
          </w:p>
        </w:tc>
      </w:tr>
    </w:tbl>
    <w:p w:rsidR="006C72FA" w:rsidRPr="006C72FA" w:rsidRDefault="006C72FA" w:rsidP="006C72FA">
      <w:pPr>
        <w:pStyle w:val="1"/>
        <w:ind w:firstLine="105"/>
        <w:rPr>
          <w:rFonts w:ascii="宋体" w:hAnsi="宋体" w:hint="eastAsia"/>
          <w:color w:val="000000"/>
        </w:rPr>
      </w:pPr>
      <w:r>
        <w:rPr>
          <w:color w:val="000000"/>
        </w:rPr>
        <w:t>                         </w:t>
      </w:r>
      <w:r>
        <w:rPr>
          <w:rFonts w:hint="eastAsia"/>
          <w:color w:val="000000"/>
        </w:rPr>
        <w:t xml:space="preserve">                                                                                                                                           </w:t>
      </w:r>
      <w:bookmarkStart w:id="0" w:name="_GoBack"/>
      <w:bookmarkEnd w:id="0"/>
    </w:p>
    <w:p w:rsidR="006C72FA" w:rsidRDefault="006C72FA" w:rsidP="006C72FA">
      <w:pPr>
        <w:pStyle w:val="00"/>
        <w:ind w:firstLine="422"/>
        <w:rPr>
          <w:rFonts w:ascii="宋体" w:hAnsi="宋体"/>
          <w:sz w:val="24"/>
        </w:rPr>
      </w:pPr>
      <w:r>
        <w:rPr>
          <w:color w:val="000000"/>
        </w:rPr>
        <w:br w:type="page"/>
      </w:r>
      <w:r>
        <w:rPr>
          <w:rFonts w:ascii="宋体" w:hAnsi="宋体" w:hint="eastAsia"/>
          <w:sz w:val="24"/>
        </w:rPr>
        <w:lastRenderedPageBreak/>
        <w:t>【表单说明】</w:t>
      </w:r>
    </w:p>
    <w:p w:rsidR="006C72FA" w:rsidRDefault="006C72FA" w:rsidP="006C72FA">
      <w:pPr>
        <w:pStyle w:val="0"/>
        <w:rPr>
          <w:rFonts w:ascii="宋体" w:hAnsi="宋体"/>
          <w:sz w:val="24"/>
        </w:rPr>
      </w:pPr>
      <w:r>
        <w:rPr>
          <w:rFonts w:ascii="宋体" w:hAnsi="宋体" w:hint="eastAsia"/>
          <w:sz w:val="24"/>
        </w:rPr>
        <w:t>1．本表依据国家税务总局关于印发&lt;跨地区经营汇总纳税企业所得税征收管理办法&gt;的公告》（国家税务总局公告2012年第57号）设置。</w:t>
      </w:r>
    </w:p>
    <w:p w:rsidR="006C72FA" w:rsidRDefault="006C72FA" w:rsidP="006C72FA">
      <w:pPr>
        <w:pStyle w:val="0"/>
        <w:rPr>
          <w:rFonts w:ascii="宋体" w:hAnsi="宋体"/>
          <w:sz w:val="24"/>
        </w:rPr>
      </w:pPr>
      <w:r>
        <w:rPr>
          <w:rFonts w:ascii="宋体" w:hAnsi="宋体" w:hint="eastAsia"/>
          <w:sz w:val="24"/>
        </w:rPr>
        <w:t>2.本表适用汇总纳税企业总机构和分支机构办理信息备案或变更备案时使用。</w:t>
      </w:r>
    </w:p>
    <w:p w:rsidR="006C72FA" w:rsidRDefault="006C72FA" w:rsidP="006C72FA">
      <w:pPr>
        <w:pStyle w:val="0"/>
        <w:rPr>
          <w:rFonts w:ascii="宋体" w:hAnsi="宋体"/>
          <w:b/>
          <w:sz w:val="24"/>
        </w:rPr>
      </w:pPr>
      <w:r>
        <w:rPr>
          <w:rFonts w:ascii="宋体" w:hAnsi="宋体" w:hint="eastAsia"/>
          <w:b/>
          <w:sz w:val="24"/>
        </w:rPr>
        <w:t>基础项目：</w:t>
      </w:r>
    </w:p>
    <w:p w:rsidR="006C72FA" w:rsidRDefault="006C72FA" w:rsidP="006C72FA">
      <w:pPr>
        <w:pStyle w:val="0"/>
        <w:rPr>
          <w:rFonts w:ascii="宋体" w:hAnsi="宋体"/>
          <w:sz w:val="24"/>
        </w:rPr>
      </w:pPr>
      <w:r>
        <w:rPr>
          <w:rFonts w:ascii="宋体" w:hAnsi="宋体" w:hint="eastAsia"/>
          <w:sz w:val="24"/>
        </w:rPr>
        <w:t>1．总分机构类型：分为总机构、分总机构、分支机构、总机构项目部、总机构独立生产经营部门。</w:t>
      </w:r>
    </w:p>
    <w:p w:rsidR="006C72FA" w:rsidRDefault="006C72FA" w:rsidP="006C72FA">
      <w:pPr>
        <w:pStyle w:val="0"/>
        <w:rPr>
          <w:rFonts w:ascii="宋体" w:hAnsi="宋体"/>
          <w:sz w:val="24"/>
        </w:rPr>
      </w:pPr>
      <w:r>
        <w:rPr>
          <w:rFonts w:ascii="宋体" w:hAnsi="宋体" w:hint="eastAsia"/>
          <w:sz w:val="24"/>
        </w:rPr>
        <w:t>2．分支机构层级：分支机构适用，分为2级、2级（有下级）、3级及3级以下、3级及3级以下（有下级）。选择有下级的需维护上级机构和下级分支机构，选择2级、3级及3级以下则只需维护上级机构。</w:t>
      </w:r>
    </w:p>
    <w:p w:rsidR="006C72FA" w:rsidRDefault="006C72FA" w:rsidP="006C72FA">
      <w:pPr>
        <w:pStyle w:val="0"/>
        <w:rPr>
          <w:rFonts w:ascii="宋体" w:hAnsi="宋体"/>
          <w:sz w:val="24"/>
        </w:rPr>
      </w:pPr>
      <w:r>
        <w:rPr>
          <w:rFonts w:ascii="宋体" w:hAnsi="宋体" w:hint="eastAsia"/>
          <w:sz w:val="24"/>
        </w:rPr>
        <w:t>3．跨地区转移类型：分为“跨省、自治区、直辖市、计划单列市”、“跨地市”、“跨县区”、“跨地市（比例预缴）”、“跨县区（比例预缴）”、“非跨地区税收转移”。</w:t>
      </w:r>
    </w:p>
    <w:p w:rsidR="006C72FA" w:rsidRDefault="006C72FA" w:rsidP="006C72FA">
      <w:pPr>
        <w:pStyle w:val="0"/>
        <w:rPr>
          <w:rFonts w:ascii="宋体" w:hAnsi="宋体"/>
          <w:sz w:val="24"/>
        </w:rPr>
      </w:pPr>
      <w:r>
        <w:rPr>
          <w:rFonts w:ascii="宋体" w:hAnsi="宋体" w:hint="eastAsia"/>
          <w:sz w:val="24"/>
        </w:rPr>
        <w:t>4．汇缴企业类型：分为“按应纳税额比例”、“按税率比例”、“按应税收入比例”三种。</w:t>
      </w:r>
    </w:p>
    <w:p w:rsidR="006C72FA" w:rsidRDefault="006C72FA" w:rsidP="006C72FA">
      <w:pPr>
        <w:pStyle w:val="0"/>
        <w:rPr>
          <w:rFonts w:ascii="宋体" w:hAnsi="宋体"/>
          <w:sz w:val="24"/>
        </w:rPr>
      </w:pPr>
      <w:r>
        <w:rPr>
          <w:rFonts w:ascii="宋体" w:hAnsi="宋体" w:hint="eastAsia"/>
          <w:sz w:val="24"/>
        </w:rPr>
        <w:t>5．分支机构是否继续分配：分为“是”、“否”。</w:t>
      </w:r>
    </w:p>
    <w:p w:rsidR="006C72FA" w:rsidRDefault="006C72FA" w:rsidP="006C72FA">
      <w:pPr>
        <w:pStyle w:val="0"/>
        <w:rPr>
          <w:rFonts w:ascii="宋体" w:hAnsi="宋体"/>
          <w:sz w:val="24"/>
        </w:rPr>
      </w:pPr>
      <w:r>
        <w:rPr>
          <w:rFonts w:ascii="宋体" w:hAnsi="宋体" w:hint="eastAsia"/>
          <w:sz w:val="24"/>
        </w:rPr>
        <w:t>6．不同税率地区标识：分为“是”、“否”。</w:t>
      </w:r>
    </w:p>
    <w:p w:rsidR="006C72FA" w:rsidRDefault="006C72FA" w:rsidP="006C72FA">
      <w:pPr>
        <w:pStyle w:val="0"/>
        <w:rPr>
          <w:rFonts w:ascii="宋体" w:hAnsi="宋体"/>
          <w:sz w:val="24"/>
        </w:rPr>
      </w:pPr>
      <w:r>
        <w:rPr>
          <w:rFonts w:ascii="宋体" w:hAnsi="宋体" w:hint="eastAsia"/>
          <w:sz w:val="24"/>
        </w:rPr>
        <w:t>7．就地缴纳标识：分为“是”、“否”。</w:t>
      </w:r>
    </w:p>
    <w:p w:rsidR="006C72FA" w:rsidRDefault="006C72FA" w:rsidP="006C72FA">
      <w:pPr>
        <w:pStyle w:val="0"/>
        <w:rPr>
          <w:rFonts w:ascii="宋体" w:hAnsi="宋体"/>
          <w:sz w:val="24"/>
        </w:rPr>
      </w:pPr>
      <w:r>
        <w:rPr>
          <w:rFonts w:ascii="宋体" w:hAnsi="宋体" w:hint="eastAsia"/>
          <w:sz w:val="24"/>
        </w:rPr>
        <w:t>8．月（季）度就地预缴比例、年度就地预缴比例：在0</w:t>
      </w:r>
      <w:r>
        <w:rPr>
          <w:rFonts w:ascii="宋体" w:hAnsi="宋体"/>
          <w:sz w:val="24"/>
        </w:rPr>
        <w:t>—</w:t>
      </w:r>
      <w:r>
        <w:rPr>
          <w:rFonts w:ascii="宋体" w:hAnsi="宋体" w:hint="eastAsia"/>
          <w:sz w:val="24"/>
        </w:rPr>
        <w:t>100%之间。</w:t>
      </w:r>
    </w:p>
    <w:p w:rsidR="006C72FA" w:rsidRDefault="006C72FA" w:rsidP="006C72FA">
      <w:pPr>
        <w:pStyle w:val="0"/>
        <w:rPr>
          <w:rFonts w:ascii="宋体" w:hAnsi="宋体"/>
          <w:sz w:val="24"/>
        </w:rPr>
      </w:pPr>
      <w:r>
        <w:rPr>
          <w:rFonts w:ascii="宋体" w:hAnsi="宋体" w:hint="eastAsia"/>
          <w:sz w:val="24"/>
        </w:rPr>
        <w:t>9．参与年度汇算清缴标识：分为“是”、“否”。</w:t>
      </w:r>
    </w:p>
    <w:p w:rsidR="006C72FA" w:rsidRDefault="006C72FA" w:rsidP="006C72FA">
      <w:pPr>
        <w:pStyle w:val="0"/>
        <w:rPr>
          <w:rFonts w:ascii="宋体" w:hAnsi="宋体"/>
          <w:sz w:val="24"/>
        </w:rPr>
      </w:pPr>
      <w:r>
        <w:rPr>
          <w:rFonts w:ascii="宋体" w:hAnsi="宋体"/>
          <w:sz w:val="24"/>
        </w:rPr>
        <w:t>10</w:t>
      </w:r>
      <w:r>
        <w:rPr>
          <w:rFonts w:ascii="宋体" w:hAnsi="宋体" w:hint="eastAsia"/>
          <w:sz w:val="24"/>
        </w:rPr>
        <w:t>、不就地缴纳缴原因：分为“不具有主体生产经营职能的内部辅助性二级分支机构”、“总机构上年度认定为小型微利企业的下设二级分支机构”、“新设立的二级分支机构”、“当年撤销的二级分支机构”；如有其它原因应写明情况。</w:t>
      </w:r>
    </w:p>
    <w:p w:rsidR="006C72FA" w:rsidRDefault="006C72FA" w:rsidP="006C72FA">
      <w:pPr>
        <w:pStyle w:val="0"/>
        <w:rPr>
          <w:rFonts w:ascii="宋体" w:hAnsi="宋体"/>
          <w:b/>
          <w:sz w:val="24"/>
        </w:rPr>
      </w:pPr>
      <w:r>
        <w:rPr>
          <w:rFonts w:ascii="宋体" w:hAnsi="宋体"/>
          <w:b/>
          <w:sz w:val="24"/>
        </w:rPr>
        <w:t>11</w:t>
      </w:r>
      <w:r>
        <w:rPr>
          <w:rFonts w:ascii="宋体" w:hAnsi="宋体" w:hint="eastAsia"/>
          <w:b/>
          <w:sz w:val="24"/>
        </w:rPr>
        <w:t>、“月（季）度就地预缴比例”、“年度就地预缴比例”、“月（季）度预缴预算科目”、“月（季）度预缴预算级次”、“年度汇算清缴预算科目”、“年度汇算清缴预算级次”不需要填报。</w:t>
      </w:r>
    </w:p>
    <w:p w:rsidR="006C72FA" w:rsidRDefault="006C72FA" w:rsidP="006C72FA">
      <w:pPr>
        <w:pStyle w:val="0"/>
        <w:rPr>
          <w:rFonts w:ascii="宋体" w:hAnsi="宋体"/>
          <w:sz w:val="24"/>
        </w:rPr>
      </w:pPr>
      <w:r>
        <w:rPr>
          <w:rFonts w:ascii="宋体" w:hAnsi="宋体" w:hint="eastAsia"/>
          <w:sz w:val="24"/>
        </w:rPr>
        <w:t>1．总分机构类型为“总机构”，且跨地区转移类型选择为“跨省、自治区、直辖市、计划单列市”、“跨地市”、“跨县区”、“跨地市（比例预缴）”、“跨县区（比例预缴）”的，不同税率地区标识、有效期起则需选择录入，有效期止为非必录，其他项目不可以录入。</w:t>
      </w:r>
    </w:p>
    <w:p w:rsidR="006C72FA" w:rsidRDefault="006C72FA" w:rsidP="006C72FA">
      <w:pPr>
        <w:pStyle w:val="0"/>
        <w:rPr>
          <w:rFonts w:ascii="宋体" w:hAnsi="宋体"/>
          <w:sz w:val="24"/>
        </w:rPr>
      </w:pPr>
      <w:r>
        <w:rPr>
          <w:rFonts w:ascii="宋体" w:hAnsi="宋体" w:hint="eastAsia"/>
          <w:sz w:val="24"/>
        </w:rPr>
        <w:t>2．总分机构类型为“总机构”，且跨地区转移类型选择为“非跨地区税收转移”的，汇缴企业类型、有效期起则需选择录入，有效期止为非必录，其他项目不可以录入。</w:t>
      </w:r>
    </w:p>
    <w:p w:rsidR="006C72FA" w:rsidRDefault="006C72FA" w:rsidP="006C72FA">
      <w:pPr>
        <w:pStyle w:val="0"/>
        <w:rPr>
          <w:rFonts w:ascii="宋体" w:hAnsi="宋体"/>
          <w:sz w:val="24"/>
        </w:rPr>
      </w:pPr>
      <w:r>
        <w:rPr>
          <w:rFonts w:ascii="宋体" w:hAnsi="宋体" w:hint="eastAsia"/>
          <w:sz w:val="24"/>
        </w:rPr>
        <w:t>3．总分机构类型为分支机构，且跨地区转移类型选择为“跨省、自治区、直辖市、计划单列市”、“跨地市”、“跨县区”的，分支机构层级、不同税率地区标识、就地缴纳标识、有效期起则需选择录入；“分支机构是否继续分配”在分支机构层级为“2级（有下级）”、“3级及3级以下（有下级）”时则需选择录入，否则为“否”；“不就地缴纳原因”在“就地缴纳标识”为“否”时则必须录入，否则不可录入；其他项目不可录入。</w:t>
      </w:r>
    </w:p>
    <w:p w:rsidR="006C72FA" w:rsidRDefault="006C72FA" w:rsidP="006C72FA">
      <w:pPr>
        <w:pStyle w:val="0"/>
        <w:rPr>
          <w:rFonts w:ascii="宋体" w:hAnsi="宋体"/>
          <w:sz w:val="24"/>
        </w:rPr>
      </w:pPr>
      <w:r>
        <w:rPr>
          <w:rFonts w:ascii="宋体" w:hAnsi="宋体" w:hint="eastAsia"/>
          <w:sz w:val="24"/>
        </w:rPr>
        <w:t>4．总分机构类型为分支机构，且跨地区转移类型选择为“跨地市（比例预缴）”、“跨县区（比例预缴”的，分支机构层级、不同税率地区标识、就地缴纳标识、汇缴企业类型、有效期起则需选择录入；“不就地缴纳原因”在“就地缴纳标识”为“否”时则必须录入，否则不可录入；“参与年度汇算清缴标识”在“就地缴纳标识”为“是”时则需选择录入，“就地缴纳标识”为“否”时则“参与年度汇算清缴标识”也为“否”；其他项目不可录入。</w:t>
      </w:r>
    </w:p>
    <w:p w:rsidR="006C72FA" w:rsidRDefault="006C72FA" w:rsidP="006C72FA">
      <w:pPr>
        <w:pStyle w:val="0"/>
        <w:rPr>
          <w:rFonts w:ascii="宋体" w:hAnsi="宋体"/>
          <w:sz w:val="24"/>
        </w:rPr>
      </w:pPr>
      <w:r>
        <w:rPr>
          <w:rFonts w:ascii="宋体" w:hAnsi="宋体" w:hint="eastAsia"/>
          <w:sz w:val="24"/>
        </w:rPr>
        <w:t>5．总分机构类型为“分支机构”，且跨地区转移类型选择为“非跨地区税收转移”的，分支机构层级、就地缴纳标识、参与年度汇算清缴标识、有效期起则需选择录入，有效期止为非必录；“不就地缴纳原因”在“就地缴纳标识”为“否”时则必须录入，否则不可录入；其他项目不可以录入。</w:t>
      </w:r>
    </w:p>
    <w:p w:rsidR="006C72FA" w:rsidRDefault="006C72FA" w:rsidP="006C72FA">
      <w:pPr>
        <w:pStyle w:val="0"/>
        <w:rPr>
          <w:rFonts w:ascii="宋体" w:hAnsi="宋体"/>
          <w:sz w:val="24"/>
        </w:rPr>
      </w:pPr>
      <w:r>
        <w:rPr>
          <w:rFonts w:ascii="宋体" w:hAnsi="宋体" w:hint="eastAsia"/>
          <w:sz w:val="24"/>
        </w:rPr>
        <w:t>6．“维护（备案）区”允许多条，但只能一条无有效期止的信息，多条信息中有效期起、止不得交叉。“上级机构信息”只能一条。“分支机构信</w:t>
      </w:r>
      <w:r>
        <w:rPr>
          <w:rFonts w:ascii="宋体" w:hAnsi="宋体" w:hint="eastAsia"/>
          <w:sz w:val="24"/>
        </w:rPr>
        <w:lastRenderedPageBreak/>
        <w:t>息”可以多条，但其纳税人识别号不得相同。</w:t>
      </w:r>
    </w:p>
    <w:p w:rsidR="006C72FA" w:rsidRDefault="006C72FA" w:rsidP="006C72FA">
      <w:pPr>
        <w:pStyle w:val="0"/>
        <w:rPr>
          <w:rFonts w:ascii="宋体" w:hAnsi="宋体"/>
          <w:sz w:val="24"/>
        </w:rPr>
      </w:pPr>
      <w:r>
        <w:rPr>
          <w:rFonts w:ascii="宋体" w:hAnsi="宋体" w:hint="eastAsia"/>
          <w:sz w:val="24"/>
        </w:rPr>
        <w:t>7．分支机构维护时，其相关信息以“总机构”、“2级（有下级）”或“3级及3级以下（有下级）”维护其分支机构信息自动带出，如“就地缴纳标识”。若分支机构维护在先，“总机构”、“2级（有下级）”或“3级及3级以下（有下级）”维护分支机构在后或调整维护信息的，校验维护的分支机构信息是否与分支机构维护一致，不一致给出提示。</w:t>
      </w:r>
    </w:p>
    <w:p w:rsidR="003F008A" w:rsidRPr="006C72FA" w:rsidRDefault="003F008A" w:rsidP="006C72FA"/>
    <w:sectPr w:rsidR="003F008A" w:rsidRPr="006C72FA" w:rsidSect="006C72FA">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0B" w:rsidRDefault="00400A0B" w:rsidP="006C72FA">
      <w:r>
        <w:separator/>
      </w:r>
    </w:p>
  </w:endnote>
  <w:endnote w:type="continuationSeparator" w:id="0">
    <w:p w:rsidR="00400A0B" w:rsidRDefault="00400A0B" w:rsidP="006C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0B" w:rsidRDefault="00400A0B" w:rsidP="006C72FA">
      <w:r>
        <w:separator/>
      </w:r>
    </w:p>
  </w:footnote>
  <w:footnote w:type="continuationSeparator" w:id="0">
    <w:p w:rsidR="00400A0B" w:rsidRDefault="00400A0B" w:rsidP="006C7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6E"/>
    <w:rsid w:val="003F008A"/>
    <w:rsid w:val="00400A0B"/>
    <w:rsid w:val="0065216E"/>
    <w:rsid w:val="006C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409AA-0B65-47C5-9AA8-AD51E44C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C72F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2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72FA"/>
    <w:rPr>
      <w:sz w:val="18"/>
      <w:szCs w:val="18"/>
    </w:rPr>
  </w:style>
  <w:style w:type="paragraph" w:styleId="a4">
    <w:name w:val="footer"/>
    <w:basedOn w:val="a"/>
    <w:link w:val="Char0"/>
    <w:uiPriority w:val="99"/>
    <w:unhideWhenUsed/>
    <w:rsid w:val="006C72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72FA"/>
    <w:rPr>
      <w:sz w:val="18"/>
      <w:szCs w:val="18"/>
    </w:rPr>
  </w:style>
  <w:style w:type="paragraph" w:customStyle="1" w:styleId="1">
    <w:name w:val="正文1"/>
    <w:qFormat/>
    <w:rsid w:val="006C72FA"/>
    <w:pPr>
      <w:widowControl w:val="0"/>
      <w:jc w:val="both"/>
    </w:pPr>
    <w:rPr>
      <w:rFonts w:ascii="Calibri" w:eastAsia="宋体" w:hAnsi="Calibri" w:cs="Times New Roman"/>
      <w:szCs w:val="24"/>
    </w:rPr>
  </w:style>
  <w:style w:type="paragraph" w:customStyle="1" w:styleId="0">
    <w:name w:val="需求正文_0"/>
    <w:basedOn w:val="1"/>
    <w:qFormat/>
    <w:rsid w:val="006C72FA"/>
    <w:pPr>
      <w:ind w:firstLine="420"/>
    </w:pPr>
    <w:rPr>
      <w:rFonts w:ascii="Arial" w:hAnsi="Arial"/>
    </w:rPr>
  </w:style>
  <w:style w:type="paragraph" w:customStyle="1" w:styleId="00">
    <w:name w:val="一级标题_0"/>
    <w:basedOn w:val="1"/>
    <w:rsid w:val="006C72FA"/>
    <w:pPr>
      <w:ind w:firstLine="420"/>
      <w:outlineLvl w:val="2"/>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2019-10-17T07:46:00Z</dcterms:created>
  <dcterms:modified xsi:type="dcterms:W3CDTF">2019-10-17T07:50:00Z</dcterms:modified>
</cp:coreProperties>
</file>