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DD64">
      <w:pPr>
        <w:topLinePunct/>
        <w:spacing w:line="760" w:lineRule="exact"/>
        <w:jc w:val="center"/>
        <w:rPr>
          <w:rFonts w:ascii="方正小标宋简体" w:hAnsi="宋体" w:eastAsia="方正小标宋简体" w:cs="宋体"/>
          <w:bCs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sz w:val="44"/>
          <w:szCs w:val="44"/>
        </w:rPr>
        <w:t>国家税务总局遵义市播州区税务局</w:t>
      </w:r>
    </w:p>
    <w:p w14:paraId="49D5FD94">
      <w:pPr>
        <w:topLinePunct/>
        <w:spacing w:line="760" w:lineRule="exact"/>
        <w:jc w:val="center"/>
        <w:rPr>
          <w:rFonts w:ascii="方正小标宋简体" w:hAnsi="宋体" w:eastAsia="方正小标宋简体" w:cs="宋体"/>
          <w:bCs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sz w:val="44"/>
          <w:szCs w:val="44"/>
        </w:rPr>
        <w:t>2023年政府信息公开年度报告</w:t>
      </w:r>
    </w:p>
    <w:p w14:paraId="65FDB6DE">
      <w:pPr>
        <w:topLinePunct/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</w:p>
    <w:p w14:paraId="62C19DA5">
      <w:pPr>
        <w:topLinePunct/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根据《中华人民共和国政</w:t>
      </w:r>
      <w:r>
        <w:rPr>
          <w:rFonts w:hint="eastAsia" w:ascii="仿宋_GB2312" w:eastAsia="仿宋_GB2312"/>
          <w:color w:val="000000"/>
          <w:spacing w:val="4"/>
          <w:sz w:val="32"/>
          <w:szCs w:val="32"/>
          <w:lang w:val="en-US" w:eastAsia="zh-CN"/>
        </w:rPr>
        <w:t>府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4"/>
          <w:sz w:val="32"/>
          <w:szCs w:val="32"/>
        </w:rPr>
        <w:t xml:space="preserve">信息公开条例》第五十条之规定，制作本报告。 </w:t>
      </w:r>
    </w:p>
    <w:p w14:paraId="763ABFCF"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一、总体情况</w:t>
      </w:r>
    </w:p>
    <w:p w14:paraId="0868A62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遵义市播州区税务局（以下简称“播州区税务局”）深入贯彻国家税务总局贵州省税务局、遵义市税务局和各级人民政府关于做好2023年政务公开工作的通知要求，围绕税收中心工作，进一步完善信息公开制度，规范信息公开流程，加强税收政策解读，积极回应社会关切，不断拓展税务政府信息公开的深度和广度，持续增强税务部门公信力和执行力，持续依托贵州省政务服务网、播州区政府网站、微信、办税服务场所公告栏、LED广泛持续开展政府信息公开工作。</w:t>
      </w:r>
    </w:p>
    <w:p w14:paraId="6B1A78C6"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主动公开情况</w:t>
      </w:r>
    </w:p>
    <w:p w14:paraId="0A097C72"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2023年，播州区税务局按照“应公开、尽公开”要求，聚焦纳税人、缴费人需求，及时全面公开相关信息。在贵州省政务服务网上传公布了行政许可1项、行政确认11项、其他行政权力26项、公共服务事项46项。</w:t>
      </w:r>
    </w:p>
    <w:p w14:paraId="46DFB2E7"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依申请公开情况</w:t>
      </w:r>
    </w:p>
    <w:p w14:paraId="2488EA9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2023年，播州区税务局收到0次依申请公开件。</w:t>
      </w:r>
    </w:p>
    <w:p w14:paraId="55440C27"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政府信息管理情况</w:t>
      </w:r>
    </w:p>
    <w:p w14:paraId="78F5BBDD"/>
    <w:p w14:paraId="7D2A6803"/>
    <w:p w14:paraId="7CAB6A6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进一步加强对信息公开的审核，在信息发布前对公开内容认真审核，严把法律关、政策关、文字关、和保密关，确保所公开信息及时准确规范。</w:t>
      </w:r>
    </w:p>
    <w:p w14:paraId="3CBA59A8"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政府信息公开平台建设情况</w:t>
      </w:r>
    </w:p>
    <w:p w14:paraId="055B6E0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针对播州区税务局机构设置、领导简介、主要职能等内容及时进行更新与调整，更新完善了相关信息。</w:t>
      </w:r>
    </w:p>
    <w:p w14:paraId="3A5449B6"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推进监督保障情况</w:t>
      </w:r>
    </w:p>
    <w:p w14:paraId="51A2CA79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组织领导，坚持主要负责人亲自部署、亲自督导，分管领导具体负责、具体落实，相关部门协同配合，将政府信息公开各项公开任务分解落实到各相关部门，确定专人负责信息公开工作的协调、督促和检查，确保政务公开工作持续推进。</w:t>
      </w:r>
    </w:p>
    <w:p w14:paraId="3CEFF0CC"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0868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B4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第二十条第（一）项</w:t>
            </w:r>
          </w:p>
        </w:tc>
      </w:tr>
      <w:tr w14:paraId="5F0C2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82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60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C0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B5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现行有效件数</w:t>
            </w:r>
          </w:p>
        </w:tc>
      </w:tr>
      <w:tr w14:paraId="32F4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85C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964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517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29B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0</w:t>
            </w:r>
          </w:p>
        </w:tc>
      </w:tr>
      <w:tr w14:paraId="11245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B2D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D73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2F52">
            <w:pPr>
              <w:ind w:firstLine="20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DB9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0</w:t>
            </w:r>
          </w:p>
        </w:tc>
      </w:tr>
      <w:tr w14:paraId="14DD1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4FD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第二十条第（五）项</w:t>
            </w:r>
          </w:p>
        </w:tc>
      </w:tr>
      <w:tr w14:paraId="48EF9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D5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58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本年处理决定数量</w:t>
            </w:r>
          </w:p>
        </w:tc>
      </w:tr>
      <w:tr w14:paraId="3C0AA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C61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1E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1888</w:t>
            </w:r>
          </w:p>
        </w:tc>
      </w:tr>
      <w:tr w14:paraId="339A9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7A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第二十条第（六）项</w:t>
            </w:r>
          </w:p>
        </w:tc>
      </w:tr>
      <w:tr w14:paraId="7EDC4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7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CB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本年处理决定数量</w:t>
            </w:r>
          </w:p>
        </w:tc>
      </w:tr>
      <w:tr w14:paraId="3EAD1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C1F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D8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2489</w:t>
            </w:r>
          </w:p>
        </w:tc>
      </w:tr>
      <w:tr w14:paraId="1E87F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21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9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</w:tr>
    </w:tbl>
    <w:p w14:paraId="0CC189A5"/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5027"/>
      </w:tblGrid>
      <w:tr w14:paraId="29542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61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第二十条第（八）项</w:t>
            </w:r>
          </w:p>
        </w:tc>
      </w:tr>
      <w:tr w14:paraId="7F695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A5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信息内容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A8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本年收费金额（单位：万元）</w:t>
            </w:r>
          </w:p>
        </w:tc>
      </w:tr>
      <w:tr w14:paraId="0D456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185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行政事业性收费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92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</w:tr>
    </w:tbl>
    <w:p w14:paraId="5FFFCC83"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14:paraId="79A7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43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FC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申请人情况</w:t>
            </w:r>
          </w:p>
        </w:tc>
      </w:tr>
      <w:tr w14:paraId="1F63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12F0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48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E8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97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</w:tr>
      <w:tr w14:paraId="2C7B7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9FFA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FF46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00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E4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AB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FC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1E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A5CD2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641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B64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7A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DA86">
            <w:pPr>
              <w:jc w:val="center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36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21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FE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61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34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22299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57D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DF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B6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27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DD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41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A1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7B38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23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A5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CA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56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14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92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67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A8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3EB74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807F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A47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F5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83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82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A1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E8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AE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B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788C8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31B1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584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05A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FA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1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AC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37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7A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C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CB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1F63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914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038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EAB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D6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32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11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B5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85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36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7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58E945C7"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2DC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CF2BA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B71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3D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FE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1E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C8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84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34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8F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36865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284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602A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578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1A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64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26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43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8F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F2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D0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21BD95E1"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D17A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F7684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938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E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6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FD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7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20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C0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DE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2ADF9769"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3E4B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82BA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A679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F9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B3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6A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71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EF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F1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1C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7E6B6178"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824C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CA15E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7B2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F0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8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4C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9C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38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F4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66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30189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67E6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A062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025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9F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AB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16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54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81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5F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8A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502A3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9F6F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DE4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34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6D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15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AE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3D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01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A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7F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46C89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2A86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369D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3BA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C6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4E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6B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37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1E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D9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6763F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65D4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28D9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35E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8E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4D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A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D7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74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94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3B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348FC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0613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949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11D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3A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BC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BC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60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EE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48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FB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5CB27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F604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E7D8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0E9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02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A5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C5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A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4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05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FF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1E816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AD7F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EFEB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0DA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E9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FD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10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3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D8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A8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46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10BDF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6959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4FD6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7A2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AA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E3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22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62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BE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A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E3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</w:tbl>
    <w:p w14:paraId="09DE38CA"/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14:paraId="2A10F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693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C8EB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D60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7D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61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C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94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55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CE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86F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3CD5C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363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6845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27C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4F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C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29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A5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88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C7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CD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402F4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3E37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4BE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27B6">
            <w:pPr>
              <w:jc w:val="left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A5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3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5F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B1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FC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61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D2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4ECD8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AF846">
            <w:pPr>
              <w:jc w:val="left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84AA">
            <w:pPr>
              <w:jc w:val="left"/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3C72">
            <w:pPr>
              <w:jc w:val="left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6BDD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0ECC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28AF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583B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8430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1BDB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EA74">
            <w:pPr>
              <w:jc w:val="center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0</w:t>
            </w:r>
          </w:p>
        </w:tc>
      </w:tr>
      <w:tr w14:paraId="599E2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C80BB7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250F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267C">
            <w:pPr>
              <w:jc w:val="left"/>
              <w:rPr>
                <w:rFonts w:ascii="楷体" w:hAnsi="楷体" w:eastAsia="楷体" w:cs="宋体"/>
                <w:sz w:val="20"/>
              </w:rPr>
            </w:pPr>
            <w:r>
              <w:rPr>
                <w:rFonts w:hint="eastAsia" w:ascii="楷体" w:hAnsi="楷体" w:eastAsia="楷体" w:cs="宋体"/>
                <w:sz w:val="20"/>
              </w:rPr>
              <w:t>3.其他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4C04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6EB7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7623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DB16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F578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425C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18A1">
            <w:pPr>
              <w:jc w:val="left"/>
              <w:rPr>
                <w:rFonts w:ascii="楷体" w:hAnsi="楷体" w:eastAsia="楷体" w:cs="宋体"/>
                <w:sz w:val="20"/>
              </w:rPr>
            </w:pPr>
          </w:p>
        </w:tc>
      </w:tr>
      <w:tr w14:paraId="46CF3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D86A9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8F2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BF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15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9E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62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0D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80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3F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  <w:tr w14:paraId="42542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D6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5C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70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6F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3F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707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AF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5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</w:tr>
    </w:tbl>
    <w:p w14:paraId="4C033C01"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FC3C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2C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58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行政诉讼</w:t>
            </w:r>
          </w:p>
        </w:tc>
      </w:tr>
      <w:tr w14:paraId="2CBBF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83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D1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F4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9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54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FB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53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复议后起诉</w:t>
            </w:r>
          </w:p>
        </w:tc>
      </w:tr>
      <w:tr w14:paraId="2B76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F607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860D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15E13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CD61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273A4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43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56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70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FF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34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0B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D4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0B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AE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79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总计</w:t>
            </w:r>
          </w:p>
        </w:tc>
      </w:tr>
      <w:tr w14:paraId="0EBE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D3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97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0</w:t>
            </w:r>
            <w:r>
              <w:rPr>
                <w:rFonts w:cs="宋体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B4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宋体"/>
                <w:sz w:val="20"/>
              </w:rPr>
              <w:t> </w:t>
            </w:r>
            <w:r>
              <w:rPr>
                <w:rFonts w:hint="eastAsia" w:cs="宋体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6B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A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6C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0D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0F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5E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E2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0F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1F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2D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FA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 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82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</w:tbl>
    <w:p w14:paraId="0ADCDF73"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五、存在的主要问题及改进情况</w:t>
      </w:r>
    </w:p>
    <w:p w14:paraId="157D1522">
      <w:pPr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前期存在问题：</w:t>
      </w:r>
      <w:r>
        <w:rPr>
          <w:rFonts w:hint="eastAsia" w:ascii="仿宋_GB2312" w:eastAsia="仿宋_GB2312"/>
          <w:sz w:val="32"/>
          <w:szCs w:val="32"/>
        </w:rPr>
        <w:t>我局前期存在的问题和不足主要是：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主体责任落实不够，虽然成立了领导小组，但是没有对股室进行及时调整。</w:t>
      </w:r>
    </w:p>
    <w:p w14:paraId="337944E0">
      <w:pPr>
        <w:shd w:val="clear" w:color="auto" w:fill="FFFFFF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改进情况：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我局</w:t>
      </w:r>
      <w:r>
        <w:rPr>
          <w:rFonts w:hint="eastAsia" w:ascii="仿宋_GB2312" w:hAnsi="Adobe 仿宋 Std R" w:eastAsia="仿宋_GB2312" w:cs="仿宋_GB2312"/>
          <w:sz w:val="32"/>
          <w:szCs w:val="32"/>
        </w:rPr>
        <w:t>切实落实主体责任，加强组织领导。及时对遵义市播州区税务局政务公开领导小组成员进行了调整，主要负责人任组长负总责，分管领导任副组长抓具体，明确了有关内设部门政务公开职责，将政务公开工作纳入了单位年度重点工作内容，采取有效措</w:t>
      </w:r>
      <w:r>
        <w:rPr>
          <w:rFonts w:hint="eastAsia" w:ascii="仿宋_GB2312" w:hAnsi="Adobe 仿宋 Std R" w:eastAsia="仿宋_GB2312" w:cs="Adobe 仿宋 Std R"/>
          <w:sz w:val="32"/>
          <w:szCs w:val="32"/>
        </w:rPr>
        <w:t>施，切实加强了政府信息的主动公开、依法公开、及时公开，做到了应公开尽公开，全力有效推进了政务公开工作。</w:t>
      </w:r>
    </w:p>
    <w:p w14:paraId="3292D941">
      <w:pPr>
        <w:spacing w:line="560" w:lineRule="exact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六、其他需要报告的事项</w:t>
      </w:r>
    </w:p>
    <w:p w14:paraId="0D0C6BE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2023年，我局严格按照各级规定的相关工作事项积极抓好落实。</w:t>
      </w:r>
    </w:p>
    <w:p w14:paraId="466DCFCF">
      <w:pPr>
        <w:overflowPunct/>
        <w:autoSpaceDE/>
        <w:autoSpaceDN/>
        <w:adjustRightIn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本报告中相关统计数据为国家税务总局遵义市播州区税务局数据。</w:t>
      </w:r>
    </w:p>
    <w:p w14:paraId="1555F9D0"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560"/>
          <w:tab w:val="left" w:pos="7992"/>
          <w:tab w:val="left" w:pos="8436"/>
        </w:tabs>
        <w:spacing w:line="560" w:lineRule="exact"/>
        <w:ind w:firstLine="640" w:firstLineChars="200"/>
        <w:rPr>
          <w:rFonts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国家税务总局贵州省税务局网站网址为：http://guizhou.chinatax.gov.cn/，如需查阅本报告电子版，请登录查询。</w:t>
      </w:r>
    </w:p>
    <w:p w14:paraId="4C0BC021">
      <w:pPr>
        <w:widowControl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560"/>
          <w:tab w:val="left" w:pos="7992"/>
          <w:tab w:val="left" w:pos="8436"/>
        </w:tabs>
        <w:spacing w:line="560" w:lineRule="exact"/>
        <w:ind w:firstLine="720" w:firstLineChars="200"/>
        <w:rPr>
          <w:rFonts w:ascii="仿宋_GB2312" w:eastAsia="仿宋_GB2312"/>
          <w:spacing w:val="20"/>
          <w:sz w:val="32"/>
          <w:szCs w:val="32"/>
        </w:rPr>
      </w:pPr>
    </w:p>
    <w:p w14:paraId="69AF561E">
      <w:pPr>
        <w:rPr>
          <w:rFonts w:ascii="仿宋_GB2312" w:hAnsi="Adobe 仿宋 Std R" w:eastAsia="仿宋_GB2312" w:cs="仿宋_GB2312"/>
          <w:sz w:val="32"/>
          <w:szCs w:val="32"/>
        </w:rPr>
      </w:pPr>
    </w:p>
    <w:p w14:paraId="67A6E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19BA1"/>
    <w:multiLevelType w:val="singleLevel"/>
    <w:tmpl w:val="7F819B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4MTIwYjQyMzkzYzk5M2Q0NzI2MGRmNzVjNWQxMzcifQ=="/>
  </w:docVars>
  <w:rsids>
    <w:rsidRoot w:val="002D6649"/>
    <w:rsid w:val="002D6649"/>
    <w:rsid w:val="0042372B"/>
    <w:rsid w:val="005848BA"/>
    <w:rsid w:val="00AA5786"/>
    <w:rsid w:val="00B3172F"/>
    <w:rsid w:val="1CBB28E2"/>
    <w:rsid w:val="4E3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5</Pages>
  <Words>686</Words>
  <Characters>703</Characters>
  <Lines>17</Lines>
  <Paragraphs>4</Paragraphs>
  <TotalTime>3</TotalTime>
  <ScaleCrop>false</ScaleCrop>
  <LinksUpToDate>false</LinksUpToDate>
  <CharactersWithSpaces>717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2024-01-30T02:46:00Z</dcterms:created>
  <dc:creator>陈剑锋</dc:creator>
  <cp:lastModifiedBy>搁浅</cp:lastModifiedBy>
  <dcterms:modified xsi:type="dcterms:W3CDTF">2025-07-24T10:47:05Z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56B58F28B80E42019901E6E104A19027_12</vt:lpwstr>
  </property>
  <property fmtid="{D5CDD505-2E9C-101B-9397-08002B2CF9AE}" pid="4" name="KSOTemplateDocerSaveRecord">
    <vt:lpwstr>eyJoZGlkIjoiZTJiMzgzMDViOWExYmFkYjk0YzVjNmVlNTc1YmQxODEifQ==</vt:lpwstr>
  </property>
</Properties>
</file>