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99" w:rsidRDefault="00CB1BDB">
      <w:pPr>
        <w:widowControl/>
        <w:spacing w:line="720" w:lineRule="exact"/>
        <w:jc w:val="center"/>
        <w:outlineLvl w:val="0"/>
        <w:rPr>
          <w:rFonts w:ascii="方正小标宋简体" w:eastAsia="方正小标宋简体" w:hAnsi="方正小标宋简体" w:cs="方正小标宋简体"/>
          <w:color w:val="333333"/>
          <w:kern w:val="36"/>
          <w:sz w:val="44"/>
          <w:szCs w:val="44"/>
        </w:rPr>
      </w:pPr>
      <w:r>
        <w:rPr>
          <w:rFonts w:ascii="方正小标宋简体" w:eastAsia="方正小标宋简体" w:hAnsi="方正小标宋简体" w:cs="方正小标宋简体" w:hint="eastAsia"/>
          <w:color w:val="333333"/>
          <w:kern w:val="36"/>
          <w:sz w:val="44"/>
          <w:szCs w:val="44"/>
        </w:rPr>
        <w:t>国家税务总局遵义市红花岗区税务局</w:t>
      </w:r>
    </w:p>
    <w:p w:rsidR="009E4A99" w:rsidRDefault="00CB1BDB">
      <w:pPr>
        <w:widowControl/>
        <w:spacing w:line="720" w:lineRule="exact"/>
        <w:jc w:val="center"/>
        <w:outlineLvl w:val="0"/>
        <w:rPr>
          <w:rFonts w:ascii="方正小标宋简体" w:eastAsia="方正小标宋简体" w:hAnsi="方正小标宋简体" w:cs="方正小标宋简体"/>
          <w:color w:val="333333"/>
          <w:kern w:val="36"/>
          <w:sz w:val="44"/>
          <w:szCs w:val="44"/>
        </w:rPr>
      </w:pPr>
      <w:r>
        <w:rPr>
          <w:rFonts w:ascii="方正小标宋简体" w:eastAsia="方正小标宋简体" w:hAnsi="方正小标宋简体" w:cs="方正小标宋简体" w:hint="eastAsia"/>
          <w:color w:val="333333"/>
          <w:kern w:val="36"/>
          <w:sz w:val="44"/>
          <w:szCs w:val="44"/>
        </w:rPr>
        <w:t>202</w:t>
      </w:r>
      <w:r>
        <w:rPr>
          <w:rFonts w:ascii="方正小标宋简体" w:eastAsia="方正小标宋简体" w:hAnsi="方正小标宋简体" w:cs="方正小标宋简体" w:hint="eastAsia"/>
          <w:color w:val="333333"/>
          <w:kern w:val="36"/>
          <w:sz w:val="44"/>
          <w:szCs w:val="44"/>
        </w:rPr>
        <w:t>3</w:t>
      </w:r>
      <w:r>
        <w:rPr>
          <w:rFonts w:ascii="方正小标宋简体" w:eastAsia="方正小标宋简体" w:hAnsi="方正小标宋简体" w:cs="方正小标宋简体" w:hint="eastAsia"/>
          <w:color w:val="333333"/>
          <w:kern w:val="36"/>
          <w:sz w:val="44"/>
          <w:szCs w:val="44"/>
        </w:rPr>
        <w:t>年政府信息公开工作年度报告</w:t>
      </w:r>
    </w:p>
    <w:p w:rsidR="009E4A99" w:rsidRDefault="009E4A99">
      <w:pPr>
        <w:rPr>
          <w:rFonts w:ascii="仿宋_GB2312" w:eastAsia="仿宋_GB2312"/>
          <w:color w:val="000000"/>
          <w:sz w:val="35"/>
          <w:szCs w:val="35"/>
        </w:rPr>
      </w:pPr>
    </w:p>
    <w:p w:rsidR="009E4A99" w:rsidRDefault="00CB1B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根据《中华人民共和国政府信息公开条例》第五十条之规定，制作本报告。</w:t>
      </w:r>
    </w:p>
    <w:p w:rsidR="009E4A99" w:rsidRDefault="00CB1BDB">
      <w:pPr>
        <w:widowControl/>
        <w:spacing w:line="405" w:lineRule="atLeast"/>
        <w:ind w:firstLine="630"/>
        <w:jc w:val="left"/>
        <w:rPr>
          <w:rFonts w:ascii="微软雅黑" w:eastAsia="微软雅黑" w:hAnsi="微软雅黑" w:cs="宋体"/>
          <w:color w:val="000000"/>
          <w:kern w:val="0"/>
          <w:sz w:val="27"/>
          <w:szCs w:val="27"/>
        </w:rPr>
      </w:pPr>
      <w:r>
        <w:rPr>
          <w:rFonts w:ascii="黑体" w:eastAsia="黑体" w:hAnsi="黑体" w:cs="宋体" w:hint="eastAsia"/>
          <w:color w:val="000000"/>
          <w:kern w:val="0"/>
          <w:sz w:val="32"/>
          <w:szCs w:val="32"/>
        </w:rPr>
        <w:t>一、总体</w:t>
      </w:r>
      <w:r>
        <w:rPr>
          <w:rFonts w:ascii="黑体" w:eastAsia="黑体" w:hAnsi="黑体" w:cs="宋体" w:hint="eastAsia"/>
          <w:color w:val="000000"/>
          <w:kern w:val="0"/>
          <w:sz w:val="32"/>
          <w:szCs w:val="32"/>
        </w:rPr>
        <w:t>情况</w:t>
      </w:r>
    </w:p>
    <w:p w:rsidR="009E4A99" w:rsidRDefault="00CB1B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年，国家税务总局遵义市红花岗区税务局以习近平新时代中国特色社会主义思想为指导</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全面落实党中央、国务院关于全面推进政务公开工作的决策部署和《中华人民共和国政府信息公开条例》，坚持“以公开为常态、不公开为例外”原则，加大主动公开力度，完善依申请公开制度规范，加强政务公开平台建设，及时回应社会关切，不断增强纳税人和缴费人的获得感、满意度。</w:t>
      </w:r>
    </w:p>
    <w:p w:rsidR="009E4A99" w:rsidRDefault="00CB1BDB">
      <w:pPr>
        <w:widowControl/>
        <w:spacing w:line="555" w:lineRule="atLeast"/>
        <w:ind w:firstLine="630"/>
        <w:rPr>
          <w:rFonts w:ascii="微软雅黑" w:eastAsia="微软雅黑" w:hAnsi="微软雅黑" w:cs="宋体"/>
          <w:color w:val="000000"/>
          <w:kern w:val="0"/>
          <w:sz w:val="27"/>
          <w:szCs w:val="27"/>
        </w:rPr>
      </w:pPr>
      <w:r>
        <w:rPr>
          <w:rFonts w:ascii="楷体_GB2312" w:eastAsia="楷体_GB2312" w:hAnsi="微软雅黑" w:cs="宋体" w:hint="eastAsia"/>
          <w:color w:val="000000"/>
          <w:kern w:val="0"/>
          <w:sz w:val="32"/>
          <w:szCs w:val="32"/>
        </w:rPr>
        <w:t>（一）主动公开政府信息情况</w:t>
      </w:r>
    </w:p>
    <w:p w:rsidR="009E4A99" w:rsidRDefault="00CB1B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全面推行行政执法公示制度，加强事前公开、规范事中公示、推动事后公开。</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，红花岗区税务局</w:t>
      </w:r>
      <w:r>
        <w:rPr>
          <w:rFonts w:ascii="仿宋_GB2312" w:eastAsia="仿宋_GB2312" w:hAnsi="仿宋_GB2312" w:cs="仿宋_GB2312" w:hint="eastAsia"/>
          <w:color w:val="000000"/>
          <w:sz w:val="32"/>
          <w:szCs w:val="32"/>
        </w:rPr>
        <w:t>主动公开行政许可</w:t>
      </w:r>
      <w:r>
        <w:rPr>
          <w:rFonts w:ascii="仿宋_GB2312" w:eastAsia="仿宋_GB2312" w:hAnsi="仿宋_GB2312" w:cs="仿宋_GB2312" w:hint="eastAsia"/>
          <w:color w:val="000000"/>
          <w:sz w:val="32"/>
          <w:szCs w:val="32"/>
        </w:rPr>
        <w:t>1265</w:t>
      </w:r>
      <w:r>
        <w:rPr>
          <w:rFonts w:ascii="仿宋_GB2312" w:eastAsia="仿宋_GB2312" w:hAnsi="仿宋_GB2312" w:cs="仿宋_GB2312" w:hint="eastAsia"/>
          <w:color w:val="000000"/>
          <w:sz w:val="32"/>
          <w:szCs w:val="32"/>
        </w:rPr>
        <w:t>条、</w:t>
      </w:r>
      <w:r>
        <w:rPr>
          <w:rFonts w:ascii="仿宋_GB2312" w:eastAsia="仿宋_GB2312" w:hAnsi="仿宋_GB2312" w:cs="仿宋_GB2312" w:hint="eastAsia"/>
          <w:color w:val="000000"/>
          <w:sz w:val="32"/>
          <w:szCs w:val="32"/>
        </w:rPr>
        <w:t>行政处罚</w:t>
      </w:r>
      <w:r>
        <w:rPr>
          <w:rFonts w:ascii="仿宋_GB2312" w:eastAsia="仿宋_GB2312" w:hAnsi="仿宋_GB2312" w:cs="仿宋_GB2312" w:hint="eastAsia"/>
          <w:color w:val="000000"/>
          <w:sz w:val="32"/>
          <w:szCs w:val="32"/>
        </w:rPr>
        <w:t>1708</w:t>
      </w:r>
      <w:r>
        <w:rPr>
          <w:rFonts w:ascii="仿宋_GB2312" w:eastAsia="仿宋_GB2312" w:hAnsi="仿宋_GB2312" w:cs="仿宋_GB2312" w:hint="eastAsia"/>
          <w:color w:val="000000"/>
          <w:sz w:val="32"/>
          <w:szCs w:val="32"/>
        </w:rPr>
        <w:t>条</w:t>
      </w:r>
      <w:r>
        <w:rPr>
          <w:rFonts w:ascii="仿宋_GB2312" w:eastAsia="仿宋_GB2312" w:hAnsi="仿宋_GB2312" w:cs="仿宋_GB2312" w:hint="eastAsia"/>
          <w:color w:val="000000"/>
          <w:sz w:val="32"/>
          <w:szCs w:val="32"/>
        </w:rPr>
        <w:t>。积极</w:t>
      </w:r>
      <w:r>
        <w:rPr>
          <w:rFonts w:ascii="仿宋_GB2312" w:eastAsia="仿宋_GB2312" w:hAnsi="仿宋_GB2312" w:cs="仿宋_GB2312" w:hint="eastAsia"/>
          <w:color w:val="000000"/>
          <w:sz w:val="32"/>
          <w:szCs w:val="32"/>
        </w:rPr>
        <w:t>落实省</w:t>
      </w:r>
      <w:r>
        <w:rPr>
          <w:rFonts w:ascii="仿宋_GB2312" w:eastAsia="仿宋_GB2312" w:hAnsi="仿宋_GB2312" w:cs="仿宋_GB2312" w:hint="eastAsia"/>
          <w:color w:val="000000"/>
          <w:sz w:val="32"/>
          <w:szCs w:val="32"/>
        </w:rPr>
        <w:t>市局和区委区政府的</w:t>
      </w:r>
      <w:r>
        <w:rPr>
          <w:rFonts w:ascii="仿宋_GB2312" w:eastAsia="仿宋_GB2312" w:hAnsi="仿宋_GB2312" w:cs="仿宋_GB2312" w:hint="eastAsia"/>
          <w:color w:val="000000"/>
          <w:sz w:val="32"/>
          <w:szCs w:val="32"/>
        </w:rPr>
        <w:t>相关工作部署</w:t>
      </w:r>
      <w:r>
        <w:rPr>
          <w:rFonts w:ascii="仿宋_GB2312" w:eastAsia="仿宋_GB2312" w:hAnsi="仿宋_GB2312" w:cs="仿宋_GB2312" w:hint="eastAsia"/>
          <w:color w:val="000000"/>
          <w:sz w:val="32"/>
          <w:szCs w:val="32"/>
        </w:rPr>
        <w:t>，全面公开各类税收政策，主要包括国家</w:t>
      </w:r>
      <w:r>
        <w:rPr>
          <w:rFonts w:ascii="仿宋_GB2312" w:eastAsia="仿宋_GB2312" w:hAnsi="仿宋_GB2312" w:cs="仿宋_GB2312" w:hint="eastAsia"/>
          <w:color w:val="000000"/>
          <w:sz w:val="32"/>
          <w:szCs w:val="32"/>
        </w:rPr>
        <w:t>最新</w:t>
      </w:r>
      <w:r>
        <w:rPr>
          <w:rFonts w:ascii="仿宋_GB2312" w:eastAsia="仿宋_GB2312" w:hAnsi="仿宋_GB2312" w:cs="仿宋_GB2312" w:hint="eastAsia"/>
          <w:color w:val="000000"/>
          <w:sz w:val="32"/>
          <w:szCs w:val="32"/>
        </w:rPr>
        <w:t>出台的各类税收优惠政策</w:t>
      </w:r>
      <w:r>
        <w:rPr>
          <w:rFonts w:ascii="仿宋_GB2312" w:eastAsia="仿宋_GB2312" w:hAnsi="仿宋_GB2312" w:cs="仿宋_GB2312" w:hint="eastAsia"/>
          <w:color w:val="000000"/>
          <w:sz w:val="32"/>
          <w:szCs w:val="32"/>
        </w:rPr>
        <w:t>、各税费种征收管理规定等</w:t>
      </w:r>
      <w:r>
        <w:rPr>
          <w:rFonts w:ascii="仿宋_GB2312" w:eastAsia="仿宋_GB2312" w:hAnsi="仿宋_GB2312" w:cs="仿宋_GB2312" w:hint="eastAsia"/>
          <w:color w:val="000000"/>
          <w:sz w:val="32"/>
          <w:szCs w:val="32"/>
        </w:rPr>
        <w:t>；依托</w:t>
      </w:r>
      <w:r>
        <w:rPr>
          <w:rFonts w:ascii="仿宋_GB2312" w:eastAsia="仿宋_GB2312" w:hAnsi="仿宋_GB2312" w:cs="仿宋_GB2312" w:hint="eastAsia"/>
          <w:color w:val="000000"/>
          <w:sz w:val="32"/>
          <w:szCs w:val="32"/>
        </w:rPr>
        <w:t>遵义税务直播课堂</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办税服务厅学税堂、企业</w:t>
      </w:r>
      <w:r>
        <w:rPr>
          <w:rFonts w:ascii="仿宋_GB2312" w:eastAsia="仿宋_GB2312" w:hAnsi="仿宋_GB2312" w:cs="仿宋_GB2312" w:hint="eastAsia"/>
          <w:color w:val="000000"/>
          <w:sz w:val="32"/>
          <w:szCs w:val="32"/>
        </w:rPr>
        <w:t>座谈会、</w:t>
      </w:r>
      <w:r>
        <w:rPr>
          <w:rFonts w:ascii="仿宋_GB2312" w:eastAsia="仿宋_GB2312" w:hAnsi="仿宋_GB2312" w:cs="仿宋_GB2312" w:hint="eastAsia"/>
          <w:color w:val="000000"/>
          <w:sz w:val="32"/>
          <w:szCs w:val="32"/>
        </w:rPr>
        <w:t>税费优惠</w:t>
      </w:r>
      <w:r>
        <w:rPr>
          <w:rFonts w:ascii="仿宋_GB2312" w:eastAsia="仿宋_GB2312" w:hAnsi="仿宋_GB2312" w:cs="仿宋_GB2312" w:hint="eastAsia"/>
          <w:color w:val="000000"/>
          <w:sz w:val="32"/>
          <w:szCs w:val="32"/>
        </w:rPr>
        <w:t>大走访等方式，对税收政策、办税流程等内容，及时向纳税人缴费人进行宣传和讲解，让纳税人应知尽知、应享尽享，切实提高纳税人满意度和获得感。</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sz w:val="32"/>
          <w:szCs w:val="32"/>
        </w:rPr>
        <w:t>023</w:t>
      </w:r>
      <w:r>
        <w:rPr>
          <w:rFonts w:ascii="仿宋_GB2312" w:eastAsia="仿宋_GB2312" w:hAnsi="仿宋_GB2312" w:cs="仿宋_GB2312" w:hint="eastAsia"/>
          <w:sz w:val="32"/>
          <w:szCs w:val="32"/>
        </w:rPr>
        <w:t>年，已走</w:t>
      </w:r>
      <w:r>
        <w:rPr>
          <w:rFonts w:ascii="仿宋_GB2312" w:eastAsia="仿宋_GB2312" w:hAnsi="仿宋_GB2312" w:cs="仿宋_GB2312" w:hint="eastAsia"/>
          <w:sz w:val="32"/>
          <w:szCs w:val="32"/>
        </w:rPr>
        <w:lastRenderedPageBreak/>
        <w:t>访纳税人、缴</w:t>
      </w:r>
      <w:r>
        <w:rPr>
          <w:rFonts w:ascii="仿宋_GB2312" w:eastAsia="仿宋_GB2312" w:hAnsi="仿宋_GB2312" w:cs="仿宋_GB2312" w:hint="eastAsia"/>
          <w:sz w:val="32"/>
          <w:szCs w:val="32"/>
        </w:rPr>
        <w:t>费人</w:t>
      </w:r>
      <w:r>
        <w:rPr>
          <w:rFonts w:ascii="仿宋_GB2312" w:eastAsia="仿宋_GB2312" w:hAnsi="仿宋_GB2312" w:cs="仿宋_GB2312" w:hint="eastAsia"/>
          <w:sz w:val="32"/>
          <w:szCs w:val="32"/>
        </w:rPr>
        <w:t>365</w:t>
      </w:r>
      <w:r>
        <w:rPr>
          <w:rFonts w:ascii="仿宋_GB2312" w:eastAsia="仿宋_GB2312" w:hAnsi="仿宋_GB2312" w:cs="仿宋_GB2312" w:hint="eastAsia"/>
          <w:sz w:val="32"/>
          <w:szCs w:val="32"/>
        </w:rPr>
        <w:t>户，</w:t>
      </w:r>
      <w:r>
        <w:rPr>
          <w:rFonts w:ascii="仿宋_GB2312" w:eastAsia="仿宋_GB2312" w:cs="仿宋_GB2312" w:hint="eastAsia"/>
          <w:color w:val="000000"/>
          <w:sz w:val="32"/>
          <w:szCs w:val="32"/>
        </w:rPr>
        <w:t>组建</w:t>
      </w:r>
      <w:r>
        <w:rPr>
          <w:rFonts w:ascii="仿宋_GB2312" w:eastAsia="仿宋_GB2312" w:hAnsi="仿宋_GB2312" w:cs="仿宋_GB2312" w:hint="eastAsia"/>
          <w:color w:val="000000"/>
          <w:sz w:val="32"/>
          <w:szCs w:val="32"/>
        </w:rPr>
        <w:t>税收志愿服务团队</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个</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招募外部志愿者共计</w:t>
      </w:r>
      <w:r>
        <w:rPr>
          <w:rFonts w:ascii="仿宋_GB2312" w:eastAsia="仿宋_GB2312" w:hAnsi="仿宋_GB2312" w:cs="仿宋_GB2312" w:hint="eastAsia"/>
          <w:color w:val="000000"/>
          <w:sz w:val="32"/>
          <w:szCs w:val="32"/>
        </w:rPr>
        <w:t>34</w:t>
      </w:r>
      <w:r>
        <w:rPr>
          <w:rFonts w:ascii="仿宋_GB2312" w:eastAsia="仿宋_GB2312" w:hAnsi="仿宋_GB2312" w:cs="仿宋_GB2312" w:hint="eastAsia"/>
          <w:color w:val="000000"/>
          <w:sz w:val="32"/>
          <w:szCs w:val="32"/>
        </w:rPr>
        <w:t>人，服务超</w:t>
      </w:r>
      <w:r>
        <w:rPr>
          <w:rFonts w:ascii="仿宋_GB2312" w:eastAsia="仿宋_GB2312" w:hAnsi="仿宋_GB2312" w:cs="仿宋_GB2312" w:hint="eastAsia"/>
          <w:color w:val="000000"/>
          <w:sz w:val="32"/>
          <w:szCs w:val="32"/>
        </w:rPr>
        <w:t>200</w:t>
      </w:r>
      <w:r>
        <w:rPr>
          <w:rFonts w:ascii="仿宋_GB2312" w:eastAsia="仿宋_GB2312" w:hAnsi="仿宋_GB2312" w:cs="仿宋_GB2312" w:hint="eastAsia"/>
          <w:color w:val="000000"/>
          <w:sz w:val="32"/>
          <w:szCs w:val="32"/>
        </w:rPr>
        <w:t>余人次。</w:t>
      </w:r>
    </w:p>
    <w:p w:rsidR="009E4A99" w:rsidRDefault="00CB1BDB">
      <w:pPr>
        <w:widowControl/>
        <w:shd w:val="clear" w:color="auto" w:fill="FFFFFF"/>
        <w:spacing w:line="555" w:lineRule="atLeast"/>
        <w:ind w:firstLine="630"/>
        <w:rPr>
          <w:rFonts w:ascii="微软雅黑" w:eastAsia="微软雅黑" w:hAnsi="微软雅黑" w:cs="宋体"/>
          <w:color w:val="000000"/>
          <w:kern w:val="0"/>
          <w:sz w:val="27"/>
          <w:szCs w:val="27"/>
        </w:rPr>
      </w:pPr>
      <w:r>
        <w:rPr>
          <w:rFonts w:ascii="楷体_GB2312" w:eastAsia="楷体_GB2312" w:hAnsi="微软雅黑" w:cs="宋体" w:hint="eastAsia"/>
          <w:color w:val="000000"/>
          <w:kern w:val="0"/>
          <w:sz w:val="32"/>
          <w:szCs w:val="32"/>
        </w:rPr>
        <w:t>（二）依申请公开政府信息情况</w:t>
      </w:r>
    </w:p>
    <w:p w:rsidR="009E4A99" w:rsidRDefault="00CB1B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深入贯彻实施《中华人民共和国政府信息公开条例》，积极做好政府信息依申请公开工作。</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年全局受理政府信息公开申请</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件。</w:t>
      </w:r>
    </w:p>
    <w:p w:rsidR="009E4A99" w:rsidRDefault="00CB1BDB">
      <w:pPr>
        <w:widowControl/>
        <w:shd w:val="clear" w:color="auto" w:fill="FFFFFF"/>
        <w:spacing w:line="555" w:lineRule="atLeast"/>
        <w:ind w:firstLine="630"/>
        <w:rPr>
          <w:rFonts w:ascii="微软雅黑" w:eastAsia="微软雅黑" w:hAnsi="微软雅黑" w:cs="宋体"/>
          <w:color w:val="000000"/>
          <w:kern w:val="0"/>
          <w:sz w:val="27"/>
          <w:szCs w:val="27"/>
        </w:rPr>
      </w:pPr>
      <w:r>
        <w:rPr>
          <w:rFonts w:ascii="楷体_GB2312" w:eastAsia="楷体_GB2312" w:hAnsi="微软雅黑" w:cs="宋体" w:hint="eastAsia"/>
          <w:color w:val="000000"/>
          <w:kern w:val="0"/>
          <w:sz w:val="32"/>
          <w:szCs w:val="32"/>
        </w:rPr>
        <w:t>（三）政府信息管理情况</w:t>
      </w:r>
    </w:p>
    <w:p w:rsidR="009E4A99" w:rsidRDefault="00CB1B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加强政府信息管理，严格</w:t>
      </w:r>
      <w:r>
        <w:rPr>
          <w:rFonts w:ascii="仿宋_GB2312" w:eastAsia="仿宋_GB2312" w:hAnsi="仿宋_GB2312" w:cs="仿宋_GB2312" w:hint="eastAsia"/>
          <w:color w:val="000000"/>
          <w:sz w:val="32"/>
          <w:szCs w:val="32"/>
        </w:rPr>
        <w:t>按照《贵州省全面推进基层政务公开标准化规范化工作实施方案》</w:t>
      </w:r>
      <w:r>
        <w:rPr>
          <w:rFonts w:ascii="仿宋_GB2312" w:eastAsia="仿宋_GB2312" w:hAnsi="仿宋_GB2312" w:cs="仿宋_GB2312" w:hint="eastAsia"/>
          <w:color w:val="000000"/>
          <w:sz w:val="32"/>
          <w:szCs w:val="32"/>
        </w:rPr>
        <w:t>开展政务公开</w:t>
      </w:r>
      <w:r>
        <w:rPr>
          <w:rFonts w:ascii="仿宋_GB2312" w:eastAsia="仿宋_GB2312" w:hAnsi="仿宋_GB2312" w:cs="仿宋_GB2312" w:hint="eastAsia"/>
          <w:color w:val="000000"/>
          <w:sz w:val="32"/>
          <w:szCs w:val="32"/>
        </w:rPr>
        <w:t>工作</w:t>
      </w:r>
      <w:r>
        <w:rPr>
          <w:rFonts w:ascii="仿宋_GB2312" w:eastAsia="仿宋_GB2312" w:hAnsi="仿宋_GB2312" w:cs="仿宋_GB2312" w:hint="eastAsia"/>
          <w:color w:val="000000"/>
          <w:sz w:val="32"/>
          <w:szCs w:val="32"/>
        </w:rPr>
        <w:t>，依法依规对拟公开的政府信息进行保密审查，未经审查和批准的政府信息，一律不对外公开发布。</w:t>
      </w:r>
    </w:p>
    <w:p w:rsidR="009E4A99" w:rsidRDefault="00CB1BDB">
      <w:pPr>
        <w:widowControl/>
        <w:shd w:val="clear" w:color="auto" w:fill="FFFFFF"/>
        <w:spacing w:line="555" w:lineRule="atLeast"/>
        <w:ind w:firstLine="630"/>
        <w:rPr>
          <w:rFonts w:ascii="微软雅黑" w:eastAsia="微软雅黑" w:hAnsi="微软雅黑" w:cs="宋体"/>
          <w:color w:val="000000"/>
          <w:kern w:val="0"/>
          <w:sz w:val="27"/>
          <w:szCs w:val="27"/>
        </w:rPr>
      </w:pPr>
      <w:r>
        <w:rPr>
          <w:rFonts w:ascii="楷体_GB2312" w:eastAsia="楷体_GB2312" w:hAnsi="微软雅黑" w:cs="宋体" w:hint="eastAsia"/>
          <w:color w:val="000000"/>
          <w:kern w:val="0"/>
          <w:sz w:val="32"/>
          <w:szCs w:val="32"/>
        </w:rPr>
        <w:t>（四）平台建设情况</w:t>
      </w:r>
    </w:p>
    <w:p w:rsidR="009E4A99" w:rsidRDefault="00CB1BDB">
      <w:pPr>
        <w:tabs>
          <w:tab w:val="left" w:pos="420"/>
          <w:tab w:val="left" w:pos="9240"/>
        </w:tabs>
        <w:autoSpaceDN w:val="0"/>
        <w:spacing w:line="606" w:lineRule="exact"/>
        <w:ind w:firstLineChars="200" w:firstLine="656"/>
        <w:textAlignment w:val="baseline"/>
        <w:rPr>
          <w:rFonts w:ascii="仿宋_GB2312" w:eastAsia="仿宋_GB2312" w:hAnsi="仿宋_GB2312" w:cs="仿宋_GB2312"/>
          <w:color w:val="000000"/>
          <w:sz w:val="32"/>
          <w:szCs w:val="32"/>
        </w:rPr>
      </w:pPr>
      <w:r>
        <w:rPr>
          <w:rFonts w:ascii="仿宋_GB2312" w:eastAsia="仿宋_GB2312" w:hAnsi="Calibri" w:hint="eastAsia"/>
          <w:spacing w:val="4"/>
          <w:kern w:val="0"/>
          <w:sz w:val="32"/>
          <w:szCs w:val="32"/>
          <w:lang w:val="zh-CN"/>
        </w:rPr>
        <w:t>一</w:t>
      </w:r>
      <w:r>
        <w:rPr>
          <w:rFonts w:ascii="仿宋_GB2312" w:eastAsia="仿宋_GB2312" w:hAnsi="Calibri" w:hint="eastAsia"/>
          <w:spacing w:val="4"/>
          <w:kern w:val="0"/>
          <w:sz w:val="32"/>
          <w:szCs w:val="32"/>
        </w:rPr>
        <w:t>是</w:t>
      </w:r>
      <w:r>
        <w:rPr>
          <w:rFonts w:ascii="仿宋_GB2312" w:eastAsia="仿宋_GB2312" w:hAnsi="Calibri" w:hint="eastAsia"/>
          <w:spacing w:val="4"/>
          <w:kern w:val="0"/>
          <w:sz w:val="32"/>
          <w:szCs w:val="32"/>
        </w:rPr>
        <w:t>加强</w:t>
      </w:r>
      <w:r>
        <w:rPr>
          <w:rFonts w:ascii="仿宋_GB2312" w:eastAsia="仿宋_GB2312" w:hAnsi="Calibri"/>
          <w:spacing w:val="4"/>
          <w:kern w:val="0"/>
          <w:sz w:val="32"/>
          <w:szCs w:val="32"/>
          <w:lang w:val="zh-CN"/>
        </w:rPr>
        <w:t>“</w:t>
      </w:r>
      <w:r>
        <w:rPr>
          <w:rFonts w:ascii="仿宋_GB2312" w:eastAsia="仿宋_GB2312" w:hAnsi="Calibri" w:hint="eastAsia"/>
          <w:spacing w:val="4"/>
          <w:kern w:val="0"/>
          <w:sz w:val="32"/>
          <w:szCs w:val="32"/>
          <w:lang w:val="zh-CN"/>
        </w:rPr>
        <w:t>互联网</w:t>
      </w:r>
      <w:r>
        <w:rPr>
          <w:rFonts w:ascii="仿宋_GB2312" w:eastAsia="仿宋_GB2312" w:hAnsi="Calibri" w:hint="eastAsia"/>
          <w:spacing w:val="4"/>
          <w:kern w:val="0"/>
          <w:sz w:val="32"/>
          <w:szCs w:val="32"/>
          <w:lang w:val="zh-CN"/>
        </w:rPr>
        <w:t>+</w:t>
      </w:r>
      <w:r>
        <w:rPr>
          <w:rFonts w:ascii="仿宋_GB2312" w:eastAsia="仿宋_GB2312" w:hAnsi="Calibri" w:hint="eastAsia"/>
          <w:spacing w:val="4"/>
          <w:kern w:val="0"/>
          <w:sz w:val="32"/>
          <w:szCs w:val="32"/>
          <w:lang w:val="zh-CN"/>
        </w:rPr>
        <w:t>政务公开</w:t>
      </w:r>
      <w:r>
        <w:rPr>
          <w:rFonts w:ascii="仿宋_GB2312" w:eastAsia="仿宋_GB2312" w:hAnsi="Calibri"/>
          <w:spacing w:val="4"/>
          <w:kern w:val="0"/>
          <w:sz w:val="32"/>
          <w:szCs w:val="32"/>
          <w:lang w:val="zh-CN"/>
        </w:rPr>
        <w:t>”</w:t>
      </w:r>
      <w:r>
        <w:rPr>
          <w:rFonts w:ascii="仿宋_GB2312" w:eastAsia="仿宋_GB2312" w:hAnsi="Calibri" w:cs="等线" w:hint="eastAsia"/>
          <w:sz w:val="32"/>
          <w:szCs w:val="32"/>
        </w:rPr>
        <w:t>宣传，大力推广“非接触式”办税服务，建成</w:t>
      </w:r>
      <w:r>
        <w:rPr>
          <w:rFonts w:ascii="仿宋_GB2312" w:eastAsia="仿宋_GB2312" w:hAnsi="Calibri" w:cs="等线" w:hint="eastAsia"/>
          <w:sz w:val="32"/>
          <w:szCs w:val="32"/>
        </w:rPr>
        <w:t>2</w:t>
      </w:r>
      <w:r>
        <w:rPr>
          <w:rFonts w:ascii="仿宋_GB2312" w:eastAsia="仿宋_GB2312" w:hAnsi="Calibri" w:cs="等线" w:hint="eastAsia"/>
          <w:sz w:val="32"/>
          <w:szCs w:val="32"/>
        </w:rPr>
        <w:t>个</w:t>
      </w:r>
      <w:r>
        <w:rPr>
          <w:rFonts w:ascii="仿宋_GB2312" w:eastAsia="仿宋_GB2312" w:hAnsi="Calibri" w:cs="等线" w:hint="eastAsia"/>
          <w:sz w:val="32"/>
          <w:szCs w:val="32"/>
        </w:rPr>
        <w:t>24</w:t>
      </w:r>
      <w:r>
        <w:rPr>
          <w:rFonts w:ascii="仿宋_GB2312" w:eastAsia="仿宋_GB2312" w:hAnsi="Calibri" w:cs="等线" w:hint="eastAsia"/>
          <w:sz w:val="32"/>
          <w:szCs w:val="32"/>
        </w:rPr>
        <w:t>小时自助办税厅，</w:t>
      </w:r>
      <w:r>
        <w:rPr>
          <w:rFonts w:ascii="仿宋_GB2312" w:eastAsia="仿宋_GB2312" w:hAnsi="仿宋_GB2312" w:cs="仿宋_GB2312" w:hint="eastAsia"/>
          <w:sz w:val="32"/>
          <w:szCs w:val="32"/>
        </w:rPr>
        <w:t>设立“学税堂”、自助办税区等</w:t>
      </w:r>
      <w:r>
        <w:rPr>
          <w:rFonts w:ascii="仿宋_GB2312" w:eastAsia="仿宋_GB2312" w:hAnsi="Calibri" w:cs="等线" w:hint="eastAsia"/>
          <w:sz w:val="32"/>
          <w:szCs w:val="32"/>
        </w:rPr>
        <w:t>，</w:t>
      </w:r>
      <w:r>
        <w:rPr>
          <w:rFonts w:ascii="仿宋_GB2312" w:eastAsia="仿宋_GB2312" w:hAnsi="仿宋_GB2312" w:cs="仿宋_GB2312" w:hint="eastAsia"/>
          <w:sz w:val="32"/>
          <w:szCs w:val="32"/>
        </w:rPr>
        <w:t>让纳税人学会掌上办、网上办，</w:t>
      </w:r>
      <w:r>
        <w:rPr>
          <w:rFonts w:ascii="仿宋_GB2312" w:eastAsia="仿宋_GB2312" w:hAnsi="仿宋_GB2312" w:cs="仿宋_GB2312" w:hint="eastAsia"/>
          <w:sz w:val="32"/>
          <w:szCs w:val="32"/>
        </w:rPr>
        <w:t>提升纳税人“非接触式”办税体验。</w:t>
      </w:r>
      <w:r>
        <w:rPr>
          <w:rFonts w:ascii="仿宋_GB2312" w:eastAsia="仿宋_GB2312" w:hAnsi="Calibri" w:hint="eastAsia"/>
          <w:spacing w:val="4"/>
          <w:kern w:val="0"/>
          <w:sz w:val="32"/>
          <w:szCs w:val="32"/>
          <w:lang w:val="zh-CN"/>
        </w:rPr>
        <w:t>二是加强税务新媒体建设。依托新媒体新技术，将税收政策、涉税操作、信息反馈、涉税培训等税务资讯囊括进短视频、</w:t>
      </w:r>
      <w:r>
        <w:rPr>
          <w:rFonts w:ascii="仿宋_GB2312" w:eastAsia="仿宋_GB2312" w:hAnsi="Calibri" w:hint="eastAsia"/>
          <w:spacing w:val="4"/>
          <w:kern w:val="0"/>
          <w:sz w:val="32"/>
          <w:szCs w:val="32"/>
          <w:lang w:val="zh-CN"/>
        </w:rPr>
        <w:t>H5</w:t>
      </w:r>
      <w:r>
        <w:rPr>
          <w:rFonts w:ascii="仿宋_GB2312" w:eastAsia="仿宋_GB2312" w:hAnsi="Calibri" w:hint="eastAsia"/>
          <w:spacing w:val="4"/>
          <w:kern w:val="0"/>
          <w:sz w:val="32"/>
          <w:szCs w:val="32"/>
          <w:lang w:val="zh-CN"/>
        </w:rPr>
        <w:t>、二维码等新载体内，及时将税收优惠政策通知到每一位纳税人，让其充分享受政策红利。三是充分发挥电子税务局效能。纳税人、缴费人只要通过贵州省电子税务局、自然人扣缴客户端、个税</w:t>
      </w:r>
      <w:r>
        <w:rPr>
          <w:rFonts w:ascii="仿宋_GB2312" w:eastAsia="仿宋_GB2312" w:hAnsi="Calibri" w:hint="eastAsia"/>
          <w:spacing w:val="4"/>
          <w:kern w:val="0"/>
          <w:sz w:val="32"/>
          <w:szCs w:val="32"/>
          <w:lang w:val="zh-CN"/>
        </w:rPr>
        <w:t>APP</w:t>
      </w:r>
      <w:r>
        <w:rPr>
          <w:rFonts w:ascii="仿宋_GB2312" w:eastAsia="仿宋_GB2312" w:hAnsi="Calibri" w:hint="eastAsia"/>
          <w:spacing w:val="4"/>
          <w:kern w:val="0"/>
          <w:sz w:val="32"/>
          <w:szCs w:val="32"/>
          <w:lang w:val="zh-CN"/>
        </w:rPr>
        <w:t>等软件，均可全程在网上办理税务登记信息变更、增值税一般纳税人登记、税务注销即时办理等业务，对需税务机</w:t>
      </w:r>
      <w:r>
        <w:rPr>
          <w:rFonts w:ascii="仿宋_GB2312" w:eastAsia="仿宋_GB2312" w:hAnsi="Calibri" w:hint="eastAsia"/>
          <w:spacing w:val="4"/>
          <w:kern w:val="0"/>
          <w:sz w:val="32"/>
          <w:szCs w:val="32"/>
          <w:lang w:val="zh-CN"/>
        </w:rPr>
        <w:lastRenderedPageBreak/>
        <w:t>关核查的业务，纳税人可在网上申请，税务机关提前审核，有效缩短办理时间。</w:t>
      </w:r>
    </w:p>
    <w:p w:rsidR="009E4A99" w:rsidRDefault="00CB1BDB">
      <w:pPr>
        <w:widowControl/>
        <w:shd w:val="clear" w:color="auto" w:fill="FFFFFF"/>
        <w:spacing w:line="555" w:lineRule="atLeast"/>
        <w:ind w:firstLine="630"/>
        <w:rPr>
          <w:rFonts w:ascii="微软雅黑" w:eastAsia="微软雅黑" w:hAnsi="微软雅黑" w:cs="宋体"/>
          <w:color w:val="000000"/>
          <w:kern w:val="0"/>
          <w:sz w:val="27"/>
          <w:szCs w:val="27"/>
        </w:rPr>
      </w:pPr>
      <w:r>
        <w:rPr>
          <w:rFonts w:ascii="楷体_GB2312" w:eastAsia="楷体_GB2312" w:hAnsi="微软雅黑" w:cs="宋体" w:hint="eastAsia"/>
          <w:color w:val="000000"/>
          <w:kern w:val="0"/>
          <w:sz w:val="32"/>
          <w:szCs w:val="32"/>
        </w:rPr>
        <w:t>（五）监督保障情况</w:t>
      </w:r>
    </w:p>
    <w:p w:rsidR="009E4A99" w:rsidRDefault="00CB1BDB">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将政务公开工作纳入年度绩效考核，强化监督保障，抓好工作落实。对重要信息不发布、重大政策不解读、热点回应不及时的，进行批评、公开通报；对弄虚作假、隐瞒实情、欺骗公众，造成严重社会影响的，追究相关单位和人员责任。</w:t>
      </w:r>
    </w:p>
    <w:p w:rsidR="009E4A99" w:rsidRDefault="00CB1BDB">
      <w:pPr>
        <w:widowControl/>
        <w:ind w:firstLine="420"/>
        <w:rPr>
          <w:rFonts w:ascii="微软雅黑" w:eastAsia="微软雅黑" w:hAnsi="微软雅黑" w:cs="宋体"/>
          <w:color w:val="000000"/>
          <w:kern w:val="0"/>
          <w:sz w:val="27"/>
          <w:szCs w:val="27"/>
        </w:rPr>
      </w:pPr>
      <w:r>
        <w:rPr>
          <w:rFonts w:ascii="宋体" w:eastAsia="宋体" w:hAnsi="宋体" w:cs="宋体" w:hint="eastAsia"/>
          <w:b/>
          <w:bCs/>
          <w:color w:val="000000"/>
          <w:kern w:val="0"/>
          <w:sz w:val="32"/>
        </w:rPr>
        <w:t>二、主动公开政府信息情况</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2104"/>
        <w:gridCol w:w="2103"/>
        <w:gridCol w:w="2103"/>
        <w:gridCol w:w="2116"/>
      </w:tblGrid>
      <w:tr w:rsidR="009E4A99">
        <w:trPr>
          <w:trHeight w:val="345"/>
          <w:jc w:val="center"/>
        </w:trPr>
        <w:tc>
          <w:tcPr>
            <w:tcW w:w="973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第二十条第（一）项</w:t>
            </w:r>
          </w:p>
        </w:tc>
      </w:tr>
      <w:tr w:rsidR="009E4A99">
        <w:trPr>
          <w:trHeight w:val="345"/>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信息内容</w:t>
            </w:r>
          </w:p>
        </w:tc>
        <w:tc>
          <w:tcPr>
            <w:tcW w:w="2430" w:type="dxa"/>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本年</w:t>
            </w:r>
            <w:r>
              <w:rPr>
                <w:rFonts w:ascii="Calibri" w:eastAsia="宋体" w:hAnsi="Calibri" w:cs="宋体"/>
                <w:kern w:val="0"/>
                <w:sz w:val="20"/>
                <w:szCs w:val="20"/>
              </w:rPr>
              <w:t>制</w:t>
            </w:r>
            <w:r>
              <w:rPr>
                <w:rFonts w:ascii="宋体" w:eastAsia="宋体" w:hAnsi="宋体" w:cs="宋体" w:hint="eastAsia"/>
                <w:kern w:val="0"/>
                <w:sz w:val="20"/>
                <w:szCs w:val="20"/>
              </w:rPr>
              <w:t>发件</w:t>
            </w:r>
            <w:r>
              <w:rPr>
                <w:rFonts w:ascii="Calibri" w:eastAsia="宋体" w:hAnsi="Calibri" w:cs="宋体"/>
                <w:kern w:val="0"/>
                <w:sz w:val="20"/>
                <w:szCs w:val="20"/>
              </w:rPr>
              <w:t>数</w:t>
            </w:r>
          </w:p>
        </w:tc>
        <w:tc>
          <w:tcPr>
            <w:tcW w:w="2430" w:type="dxa"/>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本年废止件数</w:t>
            </w:r>
          </w:p>
        </w:tc>
        <w:tc>
          <w:tcPr>
            <w:tcW w:w="2430" w:type="dxa"/>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现行有效件</w:t>
            </w:r>
            <w:r>
              <w:rPr>
                <w:rFonts w:ascii="Calibri" w:eastAsia="宋体" w:hAnsi="Calibri" w:cs="宋体"/>
                <w:kern w:val="0"/>
                <w:sz w:val="20"/>
                <w:szCs w:val="20"/>
              </w:rPr>
              <w:t>数</w:t>
            </w:r>
          </w:p>
        </w:tc>
      </w:tr>
      <w:tr w:rsidR="009E4A99">
        <w:trPr>
          <w:trHeight w:val="345"/>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规章</w:t>
            </w:r>
          </w:p>
        </w:tc>
        <w:tc>
          <w:tcPr>
            <w:tcW w:w="243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0"/>
                <w:szCs w:val="20"/>
              </w:rPr>
              <w:t>0</w:t>
            </w:r>
          </w:p>
        </w:tc>
        <w:tc>
          <w:tcPr>
            <w:tcW w:w="243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MS Mincho" w:eastAsia="MS Mincho" w:hAnsi="MS Mincho" w:cs="MS Mincho" w:hint="eastAsia"/>
                <w:kern w:val="0"/>
                <w:sz w:val="20"/>
                <w:szCs w:val="20"/>
              </w:rPr>
              <w:t> </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0</w:t>
            </w:r>
          </w:p>
        </w:tc>
        <w:tc>
          <w:tcPr>
            <w:tcW w:w="243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MS Mincho" w:eastAsia="MS Mincho" w:hAnsi="MS Mincho" w:cs="MS Mincho" w:hint="eastAsia"/>
                <w:kern w:val="0"/>
                <w:szCs w:val="21"/>
              </w:rPr>
              <w:t> </w:t>
            </w:r>
            <w:r>
              <w:rPr>
                <w:rFonts w:ascii="宋体" w:eastAsia="宋体" w:hAnsi="宋体" w:cs="宋体" w:hint="eastAsia"/>
                <w:kern w:val="0"/>
                <w:szCs w:val="21"/>
              </w:rPr>
              <w:t>0</w:t>
            </w:r>
          </w:p>
        </w:tc>
      </w:tr>
      <w:tr w:rsidR="009E4A99">
        <w:trPr>
          <w:trHeight w:val="345"/>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行政规范性文件</w:t>
            </w:r>
          </w:p>
        </w:tc>
        <w:tc>
          <w:tcPr>
            <w:tcW w:w="243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0"/>
                <w:szCs w:val="20"/>
              </w:rPr>
              <w:t>0</w:t>
            </w:r>
          </w:p>
        </w:tc>
        <w:tc>
          <w:tcPr>
            <w:tcW w:w="243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MS Mincho" w:eastAsia="MS Mincho" w:hAnsi="MS Mincho" w:cs="MS Mincho" w:hint="eastAsia"/>
                <w:kern w:val="0"/>
                <w:sz w:val="20"/>
                <w:szCs w:val="20"/>
              </w:rPr>
              <w:t> </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0</w:t>
            </w:r>
          </w:p>
        </w:tc>
        <w:tc>
          <w:tcPr>
            <w:tcW w:w="243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MS Mincho" w:eastAsia="MS Mincho" w:hAnsi="MS Mincho" w:cs="MS Mincho" w:hint="eastAsia"/>
                <w:kern w:val="0"/>
                <w:szCs w:val="21"/>
              </w:rPr>
              <w:t> </w:t>
            </w:r>
            <w:r>
              <w:rPr>
                <w:rFonts w:ascii="宋体" w:eastAsia="宋体" w:hAnsi="宋体" w:cs="宋体" w:hint="eastAsia"/>
                <w:kern w:val="0"/>
                <w:szCs w:val="21"/>
              </w:rPr>
              <w:t>0</w:t>
            </w:r>
          </w:p>
        </w:tc>
      </w:tr>
      <w:tr w:rsidR="009E4A99">
        <w:trPr>
          <w:trHeight w:val="345"/>
          <w:jc w:val="center"/>
        </w:trPr>
        <w:tc>
          <w:tcPr>
            <w:tcW w:w="9735"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第二十条第（五）项</w:t>
            </w:r>
          </w:p>
        </w:tc>
      </w:tr>
      <w:tr w:rsidR="009E4A99">
        <w:trPr>
          <w:trHeight w:val="345"/>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本年处理决定数量</w:t>
            </w:r>
          </w:p>
        </w:tc>
      </w:tr>
      <w:tr w:rsidR="009E4A99">
        <w:trPr>
          <w:trHeight w:val="345"/>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行政许可</w:t>
            </w:r>
          </w:p>
        </w:tc>
        <w:tc>
          <w:tcPr>
            <w:tcW w:w="7305" w:type="dxa"/>
            <w:gridSpan w:val="3"/>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MS Mincho" w:eastAsia="宋体" w:hAnsi="MS Mincho" w:cs="MS Mincho" w:hint="eastAsia"/>
                <w:kern w:val="0"/>
                <w:szCs w:val="21"/>
              </w:rPr>
              <w:t>1265</w:t>
            </w:r>
          </w:p>
        </w:tc>
      </w:tr>
      <w:tr w:rsidR="009E4A99">
        <w:trPr>
          <w:trHeight w:val="345"/>
          <w:jc w:val="center"/>
        </w:trPr>
        <w:tc>
          <w:tcPr>
            <w:tcW w:w="9735"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第二十条第（六）项</w:t>
            </w:r>
          </w:p>
        </w:tc>
      </w:tr>
      <w:tr w:rsidR="009E4A99">
        <w:trPr>
          <w:trHeight w:val="345"/>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本年处理决定数量</w:t>
            </w:r>
          </w:p>
        </w:tc>
      </w:tr>
      <w:tr w:rsidR="009E4A99">
        <w:trPr>
          <w:trHeight w:val="330"/>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行政处罚</w:t>
            </w:r>
          </w:p>
        </w:tc>
        <w:tc>
          <w:tcPr>
            <w:tcW w:w="7305" w:type="dxa"/>
            <w:gridSpan w:val="3"/>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4"/>
                <w:szCs w:val="24"/>
              </w:rPr>
              <w:t>1708</w:t>
            </w:r>
          </w:p>
        </w:tc>
      </w:tr>
      <w:tr w:rsidR="009E4A99">
        <w:trPr>
          <w:trHeight w:val="345"/>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行政强制</w:t>
            </w:r>
          </w:p>
        </w:tc>
        <w:tc>
          <w:tcPr>
            <w:tcW w:w="7305" w:type="dxa"/>
            <w:gridSpan w:val="3"/>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0"/>
                <w:szCs w:val="20"/>
              </w:rPr>
              <w:t>5</w:t>
            </w:r>
          </w:p>
        </w:tc>
      </w:tr>
      <w:tr w:rsidR="009E4A99">
        <w:trPr>
          <w:trHeight w:val="345"/>
          <w:jc w:val="center"/>
        </w:trPr>
        <w:tc>
          <w:tcPr>
            <w:tcW w:w="9735"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第二十条第（八）项</w:t>
            </w:r>
          </w:p>
        </w:tc>
      </w:tr>
      <w:tr w:rsidR="009E4A99">
        <w:trPr>
          <w:trHeight w:val="345"/>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信息内容</w:t>
            </w:r>
          </w:p>
        </w:tc>
        <w:tc>
          <w:tcPr>
            <w:tcW w:w="7305" w:type="dxa"/>
            <w:gridSpan w:val="3"/>
            <w:tcBorders>
              <w:top w:val="nil"/>
              <w:left w:val="nil"/>
              <w:bottom w:val="single" w:sz="6" w:space="0" w:color="auto"/>
              <w:right w:val="single" w:sz="6" w:space="0" w:color="000000"/>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本年收费金额（单位：万元）</w:t>
            </w:r>
          </w:p>
        </w:tc>
      </w:tr>
      <w:tr w:rsidR="009E4A99">
        <w:trPr>
          <w:trHeight w:val="345"/>
          <w:jc w:val="center"/>
        </w:trPr>
        <w:tc>
          <w:tcPr>
            <w:tcW w:w="2430" w:type="dxa"/>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行政事业性收费</w:t>
            </w:r>
          </w:p>
        </w:tc>
        <w:tc>
          <w:tcPr>
            <w:tcW w:w="7305" w:type="dxa"/>
            <w:gridSpan w:val="3"/>
            <w:tcBorders>
              <w:top w:val="nil"/>
              <w:left w:val="nil"/>
              <w:bottom w:val="single" w:sz="6" w:space="0" w:color="auto"/>
              <w:right w:val="single" w:sz="6" w:space="0" w:color="000000"/>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9E4A99" w:rsidRDefault="00CB1BDB">
      <w:pPr>
        <w:widowControl/>
        <w:ind w:firstLine="420"/>
        <w:rPr>
          <w:rFonts w:ascii="微软雅黑" w:eastAsia="微软雅黑" w:hAnsi="微软雅黑" w:cs="宋体"/>
          <w:color w:val="000000"/>
          <w:kern w:val="0"/>
          <w:sz w:val="27"/>
          <w:szCs w:val="27"/>
        </w:rPr>
      </w:pPr>
      <w:r>
        <w:rPr>
          <w:rFonts w:ascii="仿宋_GB2312" w:eastAsia="仿宋_GB2312" w:hAnsi="微软雅黑" w:cs="宋体" w:hint="eastAsia"/>
          <w:b/>
          <w:bCs/>
          <w:color w:val="000000"/>
          <w:kern w:val="0"/>
          <w:sz w:val="32"/>
        </w:rPr>
        <w:t>三、收到和处理政府信息公开申请情况</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710"/>
        <w:gridCol w:w="894"/>
        <w:gridCol w:w="2618"/>
        <w:gridCol w:w="607"/>
        <w:gridCol w:w="607"/>
        <w:gridCol w:w="607"/>
        <w:gridCol w:w="607"/>
        <w:gridCol w:w="607"/>
        <w:gridCol w:w="607"/>
        <w:gridCol w:w="607"/>
      </w:tblGrid>
      <w:tr w:rsidR="009E4A99">
        <w:trPr>
          <w:jc w:val="center"/>
        </w:trPr>
        <w:tc>
          <w:tcPr>
            <w:tcW w:w="4935" w:type="dxa"/>
            <w:gridSpan w:val="3"/>
            <w:vMerge w:val="restart"/>
            <w:tcBorders>
              <w:top w:val="single" w:sz="6" w:space="0" w:color="auto"/>
              <w:left w:val="single" w:sz="6" w:space="0" w:color="auto"/>
              <w:bottom w:val="inset"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left"/>
              <w:rPr>
                <w:rFonts w:ascii="宋体" w:eastAsia="宋体" w:hAnsi="宋体" w:cs="宋体"/>
                <w:kern w:val="0"/>
                <w:sz w:val="24"/>
                <w:szCs w:val="24"/>
              </w:rPr>
            </w:pPr>
            <w:r>
              <w:rPr>
                <w:rFonts w:ascii="楷体" w:eastAsia="楷体" w:hAnsi="楷体" w:cs="宋体" w:hint="eastAsia"/>
                <w:kern w:val="0"/>
                <w:sz w:val="20"/>
                <w:szCs w:val="20"/>
              </w:rPr>
              <w:t>（本列数据的勾稽关系为：第一项加第二项之和，等于第三项加第四项之和）</w:t>
            </w:r>
          </w:p>
        </w:tc>
        <w:tc>
          <w:tcPr>
            <w:tcW w:w="4815" w:type="dxa"/>
            <w:gridSpan w:val="7"/>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9E4A99">
        <w:trPr>
          <w:jc w:val="center"/>
        </w:trPr>
        <w:tc>
          <w:tcPr>
            <w:tcW w:w="0" w:type="auto"/>
            <w:gridSpan w:val="3"/>
            <w:vMerge/>
            <w:tcBorders>
              <w:top w:val="single" w:sz="6" w:space="0" w:color="auto"/>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690" w:type="dxa"/>
            <w:vMerge w:val="restart"/>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3435" w:type="dxa"/>
            <w:gridSpan w:val="5"/>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0" w:type="dxa"/>
            <w:vMerge w:val="restart"/>
            <w:tcBorders>
              <w:top w:val="single" w:sz="6" w:space="0" w:color="auto"/>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9E4A99">
        <w:trPr>
          <w:jc w:val="center"/>
        </w:trPr>
        <w:tc>
          <w:tcPr>
            <w:tcW w:w="0" w:type="auto"/>
            <w:gridSpan w:val="3"/>
            <w:vMerge/>
            <w:tcBorders>
              <w:top w:val="single" w:sz="6" w:space="0" w:color="auto"/>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商业</w:t>
            </w:r>
          </w:p>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企业</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科研</w:t>
            </w:r>
          </w:p>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机构</w:t>
            </w:r>
          </w:p>
        </w:tc>
        <w:tc>
          <w:tcPr>
            <w:tcW w:w="690" w:type="dxa"/>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690" w:type="dxa"/>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690" w:type="dxa"/>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6" w:space="0" w:color="auto"/>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r>
      <w:tr w:rsidR="009E4A99">
        <w:trPr>
          <w:jc w:val="center"/>
        </w:trPr>
        <w:tc>
          <w:tcPr>
            <w:tcW w:w="4935" w:type="dxa"/>
            <w:gridSpan w:val="3"/>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4935" w:type="dxa"/>
            <w:gridSpan w:val="3"/>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765" w:type="dxa"/>
            <w:vMerge w:val="restart"/>
            <w:tcBorders>
              <w:top w:val="nil"/>
              <w:left w:val="single" w:sz="6" w:space="0" w:color="auto"/>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4170" w:type="dxa"/>
            <w:gridSpan w:val="2"/>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4170" w:type="dxa"/>
            <w:gridSpan w:val="2"/>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945" w:type="dxa"/>
            <w:vMerge w:val="restart"/>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（三）不</w:t>
            </w:r>
            <w:r>
              <w:rPr>
                <w:rFonts w:ascii="宋体" w:eastAsia="宋体" w:hAnsi="宋体" w:cs="宋体" w:hint="eastAsia"/>
                <w:kern w:val="0"/>
                <w:sz w:val="20"/>
                <w:szCs w:val="20"/>
              </w:rPr>
              <w:lastRenderedPageBreak/>
              <w:t>予公开</w:t>
            </w: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lastRenderedPageBreak/>
              <w:t>1.</w:t>
            </w:r>
            <w:r>
              <w:rPr>
                <w:rFonts w:ascii="宋体" w:eastAsia="宋体" w:hAnsi="宋体" w:cs="宋体" w:hint="eastAsia"/>
                <w:kern w:val="0"/>
                <w:sz w:val="20"/>
                <w:szCs w:val="20"/>
              </w:rPr>
              <w:t>属于国家秘密</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single" w:sz="6" w:space="0" w:color="auto"/>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其他法</w:t>
            </w:r>
            <w:r>
              <w:rPr>
                <w:rFonts w:ascii="宋体" w:eastAsia="宋体" w:hAnsi="宋体" w:cs="宋体" w:hint="eastAsia"/>
                <w:kern w:val="0"/>
                <w:sz w:val="20"/>
                <w:szCs w:val="20"/>
              </w:rPr>
              <w:t>律行政法规禁止公开</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危及“三安全一稳定”</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4.</w:t>
            </w:r>
            <w:r>
              <w:rPr>
                <w:rFonts w:ascii="宋体" w:eastAsia="宋体" w:hAnsi="宋体" w:cs="宋体" w:hint="eastAsia"/>
                <w:kern w:val="0"/>
                <w:sz w:val="20"/>
                <w:szCs w:val="20"/>
              </w:rPr>
              <w:t>保护第三方合法权益</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5.</w:t>
            </w:r>
            <w:r>
              <w:rPr>
                <w:rFonts w:ascii="宋体" w:eastAsia="宋体" w:hAnsi="宋体" w:cs="宋体" w:hint="eastAsia"/>
                <w:kern w:val="0"/>
                <w:sz w:val="20"/>
                <w:szCs w:val="20"/>
              </w:rPr>
              <w:t>属于三类内部事务信息</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6.</w:t>
            </w:r>
            <w:r>
              <w:rPr>
                <w:rFonts w:ascii="宋体" w:eastAsia="宋体" w:hAnsi="宋体" w:cs="宋体" w:hint="eastAsia"/>
                <w:kern w:val="0"/>
                <w:sz w:val="20"/>
                <w:szCs w:val="20"/>
              </w:rPr>
              <w:t>属于四类过程性信息</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7.</w:t>
            </w:r>
            <w:r>
              <w:rPr>
                <w:rFonts w:ascii="宋体" w:eastAsia="宋体" w:hAnsi="宋体" w:cs="宋体" w:hint="eastAsia"/>
                <w:kern w:val="0"/>
                <w:sz w:val="20"/>
                <w:szCs w:val="20"/>
              </w:rPr>
              <w:t>属于行政执法案卷</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8.</w:t>
            </w:r>
            <w:r>
              <w:rPr>
                <w:rFonts w:ascii="宋体" w:eastAsia="宋体" w:hAnsi="宋体" w:cs="宋体" w:hint="eastAsia"/>
                <w:kern w:val="0"/>
                <w:sz w:val="20"/>
                <w:szCs w:val="20"/>
              </w:rPr>
              <w:t>属于行政查询事项</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945" w:type="dxa"/>
            <w:vMerge w:val="restart"/>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本机关不掌握相关政府信息</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没有现成信息需要另行制作</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补正后申请内容仍不明确</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945" w:type="dxa"/>
            <w:vMerge w:val="restart"/>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（五）不予处理</w:t>
            </w: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信访举报投诉类申请</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重复申请</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要求提供公开出版物</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4.</w:t>
            </w:r>
            <w:r>
              <w:rPr>
                <w:rFonts w:ascii="宋体" w:eastAsia="宋体" w:hAnsi="宋体" w:cs="宋体" w:hint="eastAsia"/>
                <w:kern w:val="0"/>
                <w:sz w:val="20"/>
                <w:szCs w:val="20"/>
              </w:rPr>
              <w:t>无正当理由大量反复申请</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trHeight w:val="780"/>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rPr>
                <w:rFonts w:ascii="宋体" w:eastAsia="宋体" w:hAnsi="宋体" w:cs="宋体"/>
                <w:kern w:val="0"/>
                <w:sz w:val="24"/>
                <w:szCs w:val="24"/>
              </w:rPr>
            </w:pPr>
            <w:r>
              <w:rPr>
                <w:rFonts w:ascii="宋体" w:eastAsia="宋体" w:hAnsi="宋体" w:cs="宋体" w:hint="eastAsia"/>
                <w:kern w:val="0"/>
                <w:sz w:val="20"/>
                <w:szCs w:val="20"/>
              </w:rPr>
              <w:t>5.</w:t>
            </w:r>
            <w:r>
              <w:rPr>
                <w:rFonts w:ascii="宋体" w:eastAsia="宋体" w:hAnsi="宋体" w:cs="宋体" w:hint="eastAsia"/>
                <w:kern w:val="0"/>
                <w:sz w:val="20"/>
                <w:szCs w:val="20"/>
              </w:rPr>
              <w:t>要求行政机关确认或重新出具已获取信息</w:t>
            </w:r>
          </w:p>
        </w:tc>
        <w:tc>
          <w:tcPr>
            <w:tcW w:w="690" w:type="dxa"/>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945" w:type="dxa"/>
            <w:vMerge w:val="restart"/>
            <w:tcBorders>
              <w:top w:val="nil"/>
              <w:left w:val="nil"/>
              <w:bottom w:val="inset"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rPr>
                <w:rFonts w:ascii="宋体" w:eastAsia="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申请人无正当理由逾期不补正、行政机关不再处理其政府信息公开申请</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申请人逾期未按收费通知要求缴纳费用、行政机关不再处理其政府信息公开申请</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3225"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其他</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0" w:type="auto"/>
            <w:vMerge/>
            <w:tcBorders>
              <w:top w:val="nil"/>
              <w:left w:val="single" w:sz="6" w:space="0" w:color="auto"/>
              <w:bottom w:val="inset"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4170" w:type="dxa"/>
            <w:gridSpan w:val="2"/>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r w:rsidR="009E4A99">
        <w:trPr>
          <w:jc w:val="center"/>
        </w:trPr>
        <w:tc>
          <w:tcPr>
            <w:tcW w:w="4935" w:type="dxa"/>
            <w:gridSpan w:val="3"/>
            <w:tcBorders>
              <w:top w:val="nil"/>
              <w:left w:val="single" w:sz="6" w:space="0" w:color="auto"/>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90" w:type="dxa"/>
            <w:tcBorders>
              <w:top w:val="nil"/>
              <w:left w:val="nil"/>
              <w:bottom w:val="single" w:sz="6" w:space="0" w:color="auto"/>
              <w:right w:val="single" w:sz="6" w:space="0" w:color="auto"/>
            </w:tcBorders>
            <w:shd w:val="clear" w:color="auto" w:fill="E6F4FF"/>
            <w:tcMar>
              <w:top w:w="0" w:type="dxa"/>
              <w:left w:w="60" w:type="dxa"/>
              <w:bottom w:w="0" w:type="dxa"/>
              <w:right w:w="60"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r>
    </w:tbl>
    <w:p w:rsidR="009E4A99" w:rsidRDefault="00CB1BDB">
      <w:pPr>
        <w:widowControl/>
        <w:ind w:firstLine="420"/>
        <w:rPr>
          <w:rFonts w:ascii="微软雅黑" w:eastAsia="微软雅黑" w:hAnsi="微软雅黑" w:cs="宋体"/>
          <w:color w:val="000000"/>
          <w:kern w:val="0"/>
          <w:sz w:val="27"/>
          <w:szCs w:val="27"/>
        </w:rPr>
      </w:pPr>
      <w:r>
        <w:rPr>
          <w:rFonts w:ascii="仿宋_GB2312" w:eastAsia="仿宋_GB2312" w:hAnsi="微软雅黑" w:cs="宋体" w:hint="eastAsia"/>
          <w:b/>
          <w:bCs/>
          <w:color w:val="000000"/>
          <w:kern w:val="0"/>
          <w:sz w:val="32"/>
        </w:rPr>
        <w:t>四、政府信息公开行政复议、行政诉讼情况</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567"/>
        <w:gridCol w:w="567"/>
        <w:gridCol w:w="567"/>
        <w:gridCol w:w="567"/>
        <w:gridCol w:w="568"/>
        <w:gridCol w:w="568"/>
        <w:gridCol w:w="568"/>
        <w:gridCol w:w="568"/>
        <w:gridCol w:w="568"/>
        <w:gridCol w:w="568"/>
        <w:gridCol w:w="568"/>
        <w:gridCol w:w="568"/>
        <w:gridCol w:w="568"/>
        <w:gridCol w:w="568"/>
        <w:gridCol w:w="568"/>
      </w:tblGrid>
      <w:tr w:rsidR="009E4A99">
        <w:trPr>
          <w:jc w:val="center"/>
        </w:trPr>
        <w:tc>
          <w:tcPr>
            <w:tcW w:w="3210" w:type="dxa"/>
            <w:gridSpan w:val="5"/>
            <w:tcBorders>
              <w:top w:val="single" w:sz="6" w:space="0" w:color="auto"/>
              <w:left w:val="single" w:sz="6" w:space="0" w:color="auto"/>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6435" w:type="dxa"/>
            <w:gridSpan w:val="10"/>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9E4A99">
        <w:trPr>
          <w:jc w:val="center"/>
        </w:trPr>
        <w:tc>
          <w:tcPr>
            <w:tcW w:w="645" w:type="dxa"/>
            <w:vMerge w:val="restart"/>
            <w:tcBorders>
              <w:top w:val="nil"/>
              <w:left w:val="single" w:sz="6" w:space="0" w:color="auto"/>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45" w:type="dxa"/>
            <w:vMerge w:val="restart"/>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MS Mincho" w:eastAsia="MS Mincho" w:hAnsi="MS Mincho" w:cs="MS Mincho" w:hint="eastAsia"/>
                <w:kern w:val="0"/>
                <w:sz w:val="20"/>
                <w:szCs w:val="20"/>
              </w:rPr>
              <w:t> </w:t>
            </w:r>
            <w:r>
              <w:rPr>
                <w:rFonts w:ascii="宋体" w:eastAsia="宋体" w:hAnsi="宋体" w:cs="宋体" w:hint="eastAsia"/>
                <w:kern w:val="0"/>
                <w:sz w:val="20"/>
                <w:szCs w:val="20"/>
              </w:rPr>
              <w:t>纠正</w:t>
            </w:r>
          </w:p>
        </w:tc>
        <w:tc>
          <w:tcPr>
            <w:tcW w:w="645" w:type="dxa"/>
            <w:vMerge w:val="restart"/>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r>
              <w:rPr>
                <w:rFonts w:ascii="MS Mincho" w:eastAsia="MS Mincho" w:hAnsi="MS Mincho" w:cs="MS Mincho" w:hint="eastAsia"/>
                <w:kern w:val="0"/>
                <w:sz w:val="20"/>
                <w:szCs w:val="20"/>
              </w:rPr>
              <w:t> </w:t>
            </w:r>
            <w:r>
              <w:rPr>
                <w:rFonts w:ascii="宋体" w:eastAsia="宋体" w:hAnsi="宋体" w:cs="宋体" w:hint="eastAsia"/>
                <w:kern w:val="0"/>
                <w:sz w:val="20"/>
                <w:szCs w:val="20"/>
              </w:rPr>
              <w:t>结果</w:t>
            </w:r>
          </w:p>
        </w:tc>
        <w:tc>
          <w:tcPr>
            <w:tcW w:w="645" w:type="dxa"/>
            <w:vMerge w:val="restart"/>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尚未</w:t>
            </w:r>
            <w:r>
              <w:rPr>
                <w:rFonts w:ascii="MS Mincho" w:eastAsia="MS Mincho" w:hAnsi="MS Mincho" w:cs="MS Mincho" w:hint="eastAsia"/>
                <w:kern w:val="0"/>
                <w:sz w:val="20"/>
                <w:szCs w:val="20"/>
              </w:rPr>
              <w:t> </w:t>
            </w:r>
            <w:r>
              <w:rPr>
                <w:rFonts w:ascii="宋体" w:eastAsia="宋体" w:hAnsi="宋体" w:cs="宋体" w:hint="eastAsia"/>
                <w:kern w:val="0"/>
                <w:sz w:val="20"/>
                <w:szCs w:val="20"/>
              </w:rPr>
              <w:t>审结</w:t>
            </w:r>
          </w:p>
        </w:tc>
        <w:tc>
          <w:tcPr>
            <w:tcW w:w="645" w:type="dxa"/>
            <w:vMerge w:val="restart"/>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3210" w:type="dxa"/>
            <w:gridSpan w:val="5"/>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210" w:type="dxa"/>
            <w:gridSpan w:val="5"/>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9E4A99">
        <w:trPr>
          <w:jc w:val="center"/>
        </w:trPr>
        <w:tc>
          <w:tcPr>
            <w:tcW w:w="0" w:type="auto"/>
            <w:vMerge/>
            <w:tcBorders>
              <w:top w:val="nil"/>
              <w:left w:val="single" w:sz="6" w:space="0" w:color="auto"/>
              <w:bottom w:val="single"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tcPr>
          <w:p w:rsidR="009E4A99" w:rsidRDefault="009E4A99">
            <w:pPr>
              <w:widowControl/>
              <w:jc w:val="left"/>
              <w:rPr>
                <w:rFonts w:ascii="宋体" w:eastAsia="宋体" w:hAnsi="宋体" w:cs="宋体"/>
                <w:kern w:val="0"/>
                <w:sz w:val="24"/>
                <w:szCs w:val="24"/>
              </w:rPr>
            </w:pP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MS Mincho" w:eastAsia="MS Mincho" w:hAnsi="MS Mincho" w:cs="MS Mincho" w:hint="eastAsia"/>
                <w:kern w:val="0"/>
                <w:sz w:val="20"/>
                <w:szCs w:val="20"/>
              </w:rPr>
              <w:t> </w:t>
            </w:r>
            <w:r>
              <w:rPr>
                <w:rFonts w:ascii="宋体" w:eastAsia="宋体" w:hAnsi="宋体" w:cs="宋体" w:hint="eastAsia"/>
                <w:kern w:val="0"/>
                <w:sz w:val="20"/>
                <w:szCs w:val="20"/>
              </w:rPr>
              <w:t>维持</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MS Mincho" w:eastAsia="MS Mincho" w:hAnsi="MS Mincho" w:cs="MS Mincho" w:hint="eastAsia"/>
                <w:kern w:val="0"/>
                <w:sz w:val="20"/>
                <w:szCs w:val="20"/>
              </w:rPr>
              <w:t> </w:t>
            </w:r>
            <w:r>
              <w:rPr>
                <w:rFonts w:ascii="宋体" w:eastAsia="宋体" w:hAnsi="宋体" w:cs="宋体" w:hint="eastAsia"/>
                <w:kern w:val="0"/>
                <w:sz w:val="20"/>
                <w:szCs w:val="20"/>
              </w:rPr>
              <w:t>纠正</w:t>
            </w:r>
          </w:p>
        </w:tc>
        <w:tc>
          <w:tcPr>
            <w:tcW w:w="645" w:type="dxa"/>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r>
              <w:rPr>
                <w:rFonts w:ascii="MS Mincho" w:eastAsia="MS Mincho" w:hAnsi="MS Mincho" w:cs="MS Mincho" w:hint="eastAsia"/>
                <w:kern w:val="0"/>
                <w:sz w:val="20"/>
                <w:szCs w:val="20"/>
              </w:rPr>
              <w:t> </w:t>
            </w:r>
            <w:r>
              <w:rPr>
                <w:rFonts w:ascii="宋体" w:eastAsia="宋体" w:hAnsi="宋体" w:cs="宋体" w:hint="eastAsia"/>
                <w:kern w:val="0"/>
                <w:sz w:val="20"/>
                <w:szCs w:val="20"/>
              </w:rPr>
              <w:t>结果</w:t>
            </w:r>
          </w:p>
        </w:tc>
        <w:tc>
          <w:tcPr>
            <w:tcW w:w="645" w:type="dxa"/>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尚未</w:t>
            </w:r>
            <w:r>
              <w:rPr>
                <w:rFonts w:ascii="MS Mincho" w:eastAsia="MS Mincho" w:hAnsi="MS Mincho" w:cs="MS Mincho" w:hint="eastAsia"/>
                <w:kern w:val="0"/>
                <w:sz w:val="20"/>
                <w:szCs w:val="20"/>
              </w:rPr>
              <w:t> </w:t>
            </w:r>
            <w:r>
              <w:rPr>
                <w:rFonts w:ascii="宋体" w:eastAsia="宋体" w:hAnsi="宋体" w:cs="宋体" w:hint="eastAsia"/>
                <w:kern w:val="0"/>
                <w:sz w:val="20"/>
                <w:szCs w:val="20"/>
              </w:rPr>
              <w:t>审结</w:t>
            </w:r>
          </w:p>
        </w:tc>
        <w:tc>
          <w:tcPr>
            <w:tcW w:w="645" w:type="dxa"/>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645" w:type="dxa"/>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MS Mincho" w:eastAsia="MS Mincho" w:hAnsi="MS Mincho" w:cs="MS Mincho" w:hint="eastAsia"/>
                <w:kern w:val="0"/>
                <w:sz w:val="20"/>
                <w:szCs w:val="20"/>
              </w:rPr>
              <w:t> </w:t>
            </w:r>
            <w:r>
              <w:rPr>
                <w:rFonts w:ascii="宋体" w:eastAsia="宋体" w:hAnsi="宋体" w:cs="宋体" w:hint="eastAsia"/>
                <w:kern w:val="0"/>
                <w:sz w:val="20"/>
                <w:szCs w:val="20"/>
              </w:rPr>
              <w:t>维持</w:t>
            </w:r>
          </w:p>
        </w:tc>
        <w:tc>
          <w:tcPr>
            <w:tcW w:w="645" w:type="dxa"/>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MS Mincho" w:eastAsia="MS Mincho" w:hAnsi="MS Mincho" w:cs="MS Mincho" w:hint="eastAsia"/>
                <w:kern w:val="0"/>
                <w:sz w:val="20"/>
                <w:szCs w:val="20"/>
              </w:rPr>
              <w:t> </w:t>
            </w:r>
            <w:r>
              <w:rPr>
                <w:rFonts w:ascii="宋体" w:eastAsia="宋体" w:hAnsi="宋体" w:cs="宋体" w:hint="eastAsia"/>
                <w:kern w:val="0"/>
                <w:sz w:val="20"/>
                <w:szCs w:val="20"/>
              </w:rPr>
              <w:t>纠正</w:t>
            </w:r>
          </w:p>
        </w:tc>
        <w:tc>
          <w:tcPr>
            <w:tcW w:w="645" w:type="dxa"/>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r>
              <w:rPr>
                <w:rFonts w:ascii="MS Mincho" w:eastAsia="MS Mincho" w:hAnsi="MS Mincho" w:cs="MS Mincho" w:hint="eastAsia"/>
                <w:kern w:val="0"/>
                <w:sz w:val="20"/>
                <w:szCs w:val="20"/>
              </w:rPr>
              <w:t> </w:t>
            </w:r>
            <w:r>
              <w:rPr>
                <w:rFonts w:ascii="宋体" w:eastAsia="宋体" w:hAnsi="宋体" w:cs="宋体" w:hint="eastAsia"/>
                <w:kern w:val="0"/>
                <w:sz w:val="20"/>
                <w:szCs w:val="20"/>
              </w:rPr>
              <w:t>结果</w:t>
            </w:r>
          </w:p>
        </w:tc>
        <w:tc>
          <w:tcPr>
            <w:tcW w:w="645" w:type="dxa"/>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尚未</w:t>
            </w:r>
            <w:r>
              <w:rPr>
                <w:rFonts w:ascii="MS Mincho" w:eastAsia="MS Mincho" w:hAnsi="MS Mincho" w:cs="MS Mincho" w:hint="eastAsia"/>
                <w:kern w:val="0"/>
                <w:sz w:val="20"/>
                <w:szCs w:val="20"/>
              </w:rPr>
              <w:t> </w:t>
            </w:r>
            <w:r>
              <w:rPr>
                <w:rFonts w:ascii="宋体" w:eastAsia="宋体" w:hAnsi="宋体" w:cs="宋体" w:hint="eastAsia"/>
                <w:kern w:val="0"/>
                <w:sz w:val="20"/>
                <w:szCs w:val="20"/>
              </w:rPr>
              <w:t>审结</w:t>
            </w:r>
          </w:p>
        </w:tc>
        <w:tc>
          <w:tcPr>
            <w:tcW w:w="645" w:type="dxa"/>
            <w:tcBorders>
              <w:top w:val="single" w:sz="6" w:space="0" w:color="auto"/>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9E4A99">
        <w:trPr>
          <w:trHeight w:val="675"/>
          <w:jc w:val="center"/>
        </w:trPr>
        <w:tc>
          <w:tcPr>
            <w:tcW w:w="645" w:type="dxa"/>
            <w:tcBorders>
              <w:top w:val="nil"/>
              <w:left w:val="single" w:sz="6" w:space="0" w:color="auto"/>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黑体" w:eastAsia="黑体" w:hAnsi="黑体" w:cs="宋体" w:hint="eastAsia"/>
                <w:kern w:val="0"/>
                <w:sz w:val="20"/>
                <w:szCs w:val="20"/>
              </w:rPr>
              <w:t>0</w:t>
            </w:r>
            <w:r>
              <w:rPr>
                <w:rFonts w:ascii="MS Mincho" w:eastAsia="MS Mincho" w:hAnsi="MS Mincho" w:cs="MS Mincho" w:hint="eastAsia"/>
                <w:kern w:val="0"/>
                <w:sz w:val="20"/>
                <w:szCs w:val="20"/>
              </w:rPr>
              <w:t> </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黑体" w:eastAsia="黑体" w:hAnsi="黑体" w:cs="宋体" w:hint="eastAsia"/>
                <w:kern w:val="0"/>
                <w:sz w:val="20"/>
                <w:szCs w:val="20"/>
              </w:rPr>
              <w:t>0</w:t>
            </w:r>
            <w:r>
              <w:rPr>
                <w:rFonts w:ascii="MS Mincho" w:eastAsia="MS Mincho" w:hAnsi="MS Mincho" w:cs="MS Mincho" w:hint="eastAsia"/>
                <w:kern w:val="0"/>
                <w:sz w:val="20"/>
                <w:szCs w:val="20"/>
              </w:rPr>
              <w:t> </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MS Mincho" w:eastAsia="MS Mincho" w:hAnsi="MS Mincho" w:cs="MS Mincho" w:hint="eastAsia"/>
                <w:kern w:val="0"/>
                <w:sz w:val="20"/>
                <w:szCs w:val="20"/>
              </w:rPr>
              <w:t> </w:t>
            </w:r>
            <w:r>
              <w:rPr>
                <w:rFonts w:ascii="黑体" w:eastAsia="黑体" w:hAnsi="黑体" w:cs="宋体" w:hint="eastAsia"/>
                <w:kern w:val="0"/>
                <w:sz w:val="20"/>
                <w:szCs w:val="20"/>
              </w:rPr>
              <w:t>0</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MS Mincho" w:eastAsia="MS Mincho" w:hAnsi="MS Mincho" w:cs="MS Mincho" w:hint="eastAsia"/>
                <w:kern w:val="0"/>
                <w:sz w:val="20"/>
                <w:szCs w:val="20"/>
              </w:rPr>
              <w:t> </w:t>
            </w:r>
            <w:r>
              <w:rPr>
                <w:rFonts w:ascii="黑体" w:eastAsia="黑体" w:hAnsi="黑体" w:cs="宋体" w:hint="eastAsia"/>
                <w:kern w:val="0"/>
                <w:sz w:val="20"/>
                <w:szCs w:val="20"/>
              </w:rPr>
              <w:t>0</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MS Mincho" w:eastAsia="MS Mincho" w:hAnsi="MS Mincho" w:cs="MS Mincho" w:hint="eastAsia"/>
                <w:kern w:val="0"/>
                <w:sz w:val="20"/>
                <w:szCs w:val="20"/>
              </w:rPr>
              <w:t> </w:t>
            </w:r>
            <w:r>
              <w:rPr>
                <w:rFonts w:ascii="黑体" w:eastAsia="黑体" w:hAnsi="黑体" w:cs="宋体" w:hint="eastAsia"/>
                <w:kern w:val="0"/>
                <w:sz w:val="20"/>
                <w:szCs w:val="20"/>
              </w:rPr>
              <w:t>0</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MS Mincho" w:eastAsia="MS Mincho" w:hAnsi="MS Mincho" w:cs="MS Mincho" w:hint="eastAsia"/>
                <w:kern w:val="0"/>
                <w:sz w:val="20"/>
                <w:szCs w:val="20"/>
              </w:rPr>
              <w:t> </w:t>
            </w:r>
            <w:r>
              <w:rPr>
                <w:rFonts w:ascii="黑体" w:eastAsia="黑体" w:hAnsi="黑体" w:cs="宋体" w:hint="eastAsia"/>
                <w:kern w:val="0"/>
                <w:sz w:val="20"/>
                <w:szCs w:val="20"/>
              </w:rPr>
              <w:t>0</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MS Mincho" w:eastAsia="MS Mincho" w:hAnsi="MS Mincho" w:cs="MS Mincho" w:hint="eastAsia"/>
                <w:kern w:val="0"/>
                <w:sz w:val="20"/>
                <w:szCs w:val="20"/>
              </w:rPr>
              <w:t> </w:t>
            </w:r>
            <w:r>
              <w:rPr>
                <w:rFonts w:ascii="黑体" w:eastAsia="黑体" w:hAnsi="黑体" w:cs="宋体" w:hint="eastAsia"/>
                <w:kern w:val="0"/>
                <w:sz w:val="20"/>
                <w:szCs w:val="20"/>
              </w:rPr>
              <w:t>0</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MS Mincho" w:eastAsia="MS Mincho" w:hAnsi="MS Mincho" w:cs="MS Mincho" w:hint="eastAsia"/>
                <w:kern w:val="0"/>
                <w:sz w:val="20"/>
                <w:szCs w:val="20"/>
              </w:rPr>
              <w:t> </w:t>
            </w:r>
            <w:r>
              <w:rPr>
                <w:rFonts w:ascii="黑体" w:eastAsia="黑体" w:hAnsi="黑体" w:cs="宋体" w:hint="eastAsia"/>
                <w:kern w:val="0"/>
                <w:sz w:val="20"/>
                <w:szCs w:val="20"/>
              </w:rPr>
              <w:t>0</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MS Mincho" w:eastAsia="MS Mincho" w:hAnsi="MS Mincho" w:cs="MS Mincho" w:hint="eastAsia"/>
                <w:kern w:val="0"/>
                <w:sz w:val="20"/>
                <w:szCs w:val="20"/>
              </w:rPr>
              <w:t> </w:t>
            </w:r>
            <w:r>
              <w:rPr>
                <w:rFonts w:ascii="黑体" w:eastAsia="黑体" w:hAnsi="黑体" w:cs="宋体" w:hint="eastAsia"/>
                <w:kern w:val="0"/>
                <w:sz w:val="20"/>
                <w:szCs w:val="20"/>
              </w:rPr>
              <w:t>0</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黑体" w:eastAsia="黑体" w:hAnsi="黑体" w:cs="宋体" w:hint="eastAsia"/>
                <w:kern w:val="0"/>
                <w:sz w:val="20"/>
                <w:szCs w:val="20"/>
              </w:rPr>
              <w:t>0</w:t>
            </w:r>
            <w:r>
              <w:rPr>
                <w:rFonts w:ascii="MS Mincho" w:eastAsia="MS Mincho" w:hAnsi="MS Mincho" w:cs="MS Mincho" w:hint="eastAsia"/>
                <w:kern w:val="0"/>
                <w:sz w:val="20"/>
                <w:szCs w:val="20"/>
              </w:rPr>
              <w:t> </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MS Mincho" w:eastAsia="MS Mincho" w:hAnsi="MS Mincho" w:cs="MS Mincho" w:hint="eastAsia"/>
                <w:kern w:val="0"/>
                <w:sz w:val="20"/>
                <w:szCs w:val="20"/>
              </w:rPr>
              <w:t> </w:t>
            </w:r>
            <w:r>
              <w:rPr>
                <w:rFonts w:ascii="黑体" w:eastAsia="黑体" w:hAnsi="黑体" w:cs="宋体" w:hint="eastAsia"/>
                <w:kern w:val="0"/>
                <w:sz w:val="20"/>
                <w:szCs w:val="20"/>
              </w:rPr>
              <w:t>0</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黑体" w:eastAsia="黑体" w:hAnsi="黑体" w:cs="宋体" w:hint="eastAsia"/>
                <w:kern w:val="0"/>
                <w:sz w:val="20"/>
                <w:szCs w:val="20"/>
              </w:rPr>
              <w:t>0</w:t>
            </w:r>
            <w:r>
              <w:rPr>
                <w:rFonts w:ascii="MS Mincho" w:eastAsia="MS Mincho" w:hAnsi="MS Mincho" w:cs="MS Mincho" w:hint="eastAsia"/>
                <w:kern w:val="0"/>
                <w:sz w:val="20"/>
                <w:szCs w:val="20"/>
              </w:rPr>
              <w:t> </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MS Mincho" w:eastAsia="MS Mincho" w:hAnsi="MS Mincho" w:cs="MS Mincho" w:hint="eastAsia"/>
                <w:kern w:val="0"/>
                <w:sz w:val="20"/>
                <w:szCs w:val="20"/>
              </w:rPr>
              <w:t> </w:t>
            </w:r>
            <w:r>
              <w:rPr>
                <w:rFonts w:ascii="黑体" w:eastAsia="黑体" w:hAnsi="黑体" w:cs="宋体" w:hint="eastAsia"/>
                <w:kern w:val="0"/>
                <w:sz w:val="20"/>
                <w:szCs w:val="20"/>
              </w:rPr>
              <w:t>0</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center"/>
              <w:rPr>
                <w:rFonts w:ascii="宋体" w:eastAsia="宋体" w:hAnsi="宋体" w:cs="宋体"/>
                <w:kern w:val="0"/>
                <w:sz w:val="24"/>
                <w:szCs w:val="24"/>
              </w:rPr>
            </w:pPr>
            <w:r>
              <w:rPr>
                <w:rFonts w:ascii="黑体" w:eastAsia="黑体" w:hAnsi="黑体" w:cs="宋体" w:hint="eastAsia"/>
                <w:kern w:val="0"/>
                <w:sz w:val="20"/>
                <w:szCs w:val="20"/>
              </w:rPr>
              <w:t>0</w:t>
            </w:r>
            <w:r>
              <w:rPr>
                <w:rFonts w:ascii="MS Mincho" w:eastAsia="MS Mincho" w:hAnsi="MS Mincho" w:cs="MS Mincho" w:hint="eastAsia"/>
                <w:kern w:val="0"/>
                <w:sz w:val="20"/>
                <w:szCs w:val="20"/>
              </w:rPr>
              <w:t> </w:t>
            </w:r>
          </w:p>
        </w:tc>
        <w:tc>
          <w:tcPr>
            <w:tcW w:w="645" w:type="dxa"/>
            <w:tcBorders>
              <w:top w:val="nil"/>
              <w:left w:val="nil"/>
              <w:bottom w:val="single" w:sz="6" w:space="0" w:color="auto"/>
              <w:right w:val="single" w:sz="6" w:space="0" w:color="auto"/>
            </w:tcBorders>
            <w:shd w:val="clear" w:color="auto" w:fill="E6F4FF"/>
            <w:tcMar>
              <w:top w:w="0" w:type="dxa"/>
              <w:left w:w="105" w:type="dxa"/>
              <w:bottom w:w="0" w:type="dxa"/>
              <w:right w:w="105" w:type="dxa"/>
            </w:tcMar>
            <w:vAlign w:val="center"/>
          </w:tcPr>
          <w:p w:rsidR="009E4A99" w:rsidRDefault="00CB1BDB">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9E4A99" w:rsidRDefault="00CB1BDB">
      <w:pPr>
        <w:widowControl/>
        <w:shd w:val="clear" w:color="auto" w:fill="FFFFFF"/>
        <w:ind w:firstLine="630"/>
        <w:rPr>
          <w:rFonts w:ascii="微软雅黑" w:eastAsia="微软雅黑" w:hAnsi="微软雅黑" w:cs="宋体"/>
          <w:color w:val="000000"/>
          <w:kern w:val="0"/>
          <w:sz w:val="27"/>
          <w:szCs w:val="27"/>
        </w:rPr>
      </w:pPr>
      <w:r>
        <w:rPr>
          <w:rFonts w:ascii="黑体" w:eastAsia="黑体" w:hAnsi="黑体" w:cs="宋体" w:hint="eastAsia"/>
          <w:color w:val="333333"/>
          <w:kern w:val="0"/>
          <w:sz w:val="32"/>
          <w:szCs w:val="32"/>
        </w:rPr>
        <w:t>五、存在的主要问题及改进情况</w:t>
      </w:r>
    </w:p>
    <w:p w:rsidR="009E4A99" w:rsidRDefault="00CB1BDB">
      <w:pPr>
        <w:widowControl/>
        <w:shd w:val="clear" w:color="auto" w:fill="FFFFFF"/>
        <w:spacing w:line="560" w:lineRule="exact"/>
        <w:ind w:firstLine="629"/>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国家税务总局遵义市红花岗区税务局政府信息公开工作有序开展，各项工作取得了一定的成效，但也存在一些问题和不足：政策解读不精准不全面；政府信息公开年报编制不规范；信息公开工作人员的业务水平仍需提升等。针对以上问题，采取了以下改进措施：</w:t>
      </w:r>
      <w:r>
        <w:rPr>
          <w:rFonts w:ascii="仿宋_GB2312" w:eastAsia="仿宋_GB2312" w:hAnsi="微软雅黑" w:cs="宋体" w:hint="eastAsia"/>
          <w:b/>
          <w:bCs/>
          <w:color w:val="000000"/>
          <w:kern w:val="0"/>
          <w:sz w:val="32"/>
        </w:rPr>
        <w:t>一是</w:t>
      </w:r>
      <w:r>
        <w:rPr>
          <w:rFonts w:ascii="仿宋_GB2312" w:eastAsia="仿宋_GB2312" w:hAnsi="微软雅黑" w:cs="宋体" w:hint="eastAsia"/>
          <w:b/>
          <w:bCs/>
          <w:color w:val="000000"/>
          <w:kern w:val="0"/>
          <w:sz w:val="32"/>
        </w:rPr>
        <w:t>完善</w:t>
      </w:r>
      <w:r>
        <w:rPr>
          <w:rFonts w:ascii="仿宋_GB2312" w:eastAsia="仿宋_GB2312" w:hAnsi="微软雅黑" w:cs="宋体" w:hint="eastAsia"/>
          <w:b/>
          <w:bCs/>
          <w:color w:val="000000"/>
          <w:kern w:val="0"/>
          <w:sz w:val="32"/>
        </w:rPr>
        <w:t>工作机制。</w:t>
      </w:r>
      <w:r>
        <w:rPr>
          <w:rFonts w:ascii="仿宋_GB2312" w:eastAsia="仿宋_GB2312" w:hAnsi="仿宋_GB2312" w:cs="仿宋_GB2312" w:hint="eastAsia"/>
          <w:color w:val="000000"/>
          <w:sz w:val="32"/>
          <w:szCs w:val="32"/>
        </w:rPr>
        <w:t>强化</w:t>
      </w:r>
      <w:r>
        <w:rPr>
          <w:rFonts w:ascii="仿宋_GB2312" w:eastAsia="仿宋_GB2312" w:hAnsi="仿宋_GB2312" w:cs="仿宋_GB2312" w:hint="eastAsia"/>
          <w:color w:val="000000"/>
          <w:sz w:val="32"/>
          <w:szCs w:val="32"/>
        </w:rPr>
        <w:t>组织领导，制定工作</w:t>
      </w:r>
      <w:r>
        <w:rPr>
          <w:rFonts w:ascii="仿宋_GB2312" w:eastAsia="仿宋_GB2312" w:hAnsi="仿宋_GB2312" w:cs="仿宋_GB2312" w:hint="eastAsia"/>
          <w:color w:val="000000"/>
          <w:sz w:val="32"/>
          <w:szCs w:val="32"/>
        </w:rPr>
        <w:t>方案</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设定</w:t>
      </w:r>
      <w:r>
        <w:rPr>
          <w:rFonts w:ascii="仿宋_GB2312" w:eastAsia="仿宋_GB2312" w:hAnsi="仿宋_GB2312" w:cs="仿宋_GB2312" w:hint="eastAsia"/>
          <w:color w:val="000000"/>
          <w:sz w:val="32"/>
          <w:szCs w:val="32"/>
        </w:rPr>
        <w:t>目标任务</w:t>
      </w:r>
      <w:r>
        <w:rPr>
          <w:rFonts w:ascii="仿宋_GB2312" w:eastAsia="仿宋_GB2312" w:hAnsi="仿宋_GB2312" w:cs="仿宋_GB2312" w:hint="eastAsia"/>
          <w:color w:val="000000"/>
          <w:sz w:val="32"/>
          <w:szCs w:val="32"/>
        </w:rPr>
        <w:t>考核</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规范</w:t>
      </w:r>
      <w:r>
        <w:rPr>
          <w:rFonts w:ascii="仿宋_GB2312" w:eastAsia="仿宋_GB2312" w:hAnsi="仿宋_GB2312" w:cs="仿宋_GB2312" w:hint="eastAsia"/>
          <w:color w:val="000000"/>
          <w:sz w:val="32"/>
          <w:szCs w:val="32"/>
        </w:rPr>
        <w:t>时间节点</w:t>
      </w:r>
      <w:r>
        <w:rPr>
          <w:rFonts w:ascii="仿宋_GB2312" w:eastAsia="仿宋_GB2312" w:hAnsi="仿宋_GB2312" w:cs="仿宋_GB2312" w:hint="eastAsia"/>
          <w:color w:val="000000"/>
          <w:sz w:val="32"/>
          <w:szCs w:val="32"/>
        </w:rPr>
        <w:t>督导</w:t>
      </w:r>
      <w:r>
        <w:rPr>
          <w:rFonts w:ascii="仿宋_GB2312" w:eastAsia="仿宋_GB2312" w:hAnsi="仿宋_GB2312" w:cs="仿宋_GB2312" w:hint="eastAsia"/>
          <w:color w:val="000000"/>
          <w:sz w:val="32"/>
          <w:szCs w:val="32"/>
        </w:rPr>
        <w:t>，主要负责人亲自部署</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分管领导具体</w:t>
      </w:r>
      <w:r>
        <w:rPr>
          <w:rFonts w:ascii="仿宋_GB2312" w:eastAsia="仿宋_GB2312" w:hAnsi="仿宋_GB2312" w:cs="仿宋_GB2312" w:hint="eastAsia"/>
          <w:color w:val="000000"/>
          <w:sz w:val="32"/>
          <w:szCs w:val="32"/>
        </w:rPr>
        <w:t>抓落实</w:t>
      </w:r>
      <w:r>
        <w:rPr>
          <w:rFonts w:ascii="仿宋_GB2312" w:eastAsia="仿宋_GB2312" w:hAnsi="仿宋_GB2312" w:cs="仿宋_GB2312" w:hint="eastAsia"/>
          <w:color w:val="000000"/>
          <w:sz w:val="32"/>
          <w:szCs w:val="32"/>
        </w:rPr>
        <w:t>，相关部门协同配合，采取强有力的措施，持续抓好、抓实政务公开工作。</w:t>
      </w:r>
      <w:r>
        <w:rPr>
          <w:rFonts w:ascii="仿宋_GB2312" w:eastAsia="仿宋_GB2312" w:hAnsi="微软雅黑" w:cs="宋体" w:hint="eastAsia"/>
          <w:b/>
          <w:bCs/>
          <w:color w:val="000000"/>
          <w:kern w:val="0"/>
          <w:sz w:val="32"/>
        </w:rPr>
        <w:t>二是提高</w:t>
      </w:r>
      <w:r>
        <w:rPr>
          <w:rFonts w:ascii="仿宋_GB2312" w:eastAsia="仿宋_GB2312" w:hAnsi="微软雅黑" w:cs="宋体" w:hint="eastAsia"/>
          <w:b/>
          <w:bCs/>
          <w:color w:val="000000"/>
          <w:kern w:val="0"/>
          <w:sz w:val="32"/>
        </w:rPr>
        <w:t>公开</w:t>
      </w:r>
      <w:r>
        <w:rPr>
          <w:rFonts w:ascii="仿宋_GB2312" w:eastAsia="仿宋_GB2312" w:hAnsi="微软雅黑" w:cs="宋体" w:hint="eastAsia"/>
          <w:b/>
          <w:bCs/>
          <w:color w:val="000000"/>
          <w:kern w:val="0"/>
          <w:sz w:val="32"/>
        </w:rPr>
        <w:t>质量。</w:t>
      </w:r>
      <w:r>
        <w:rPr>
          <w:rFonts w:ascii="仿宋_GB2312" w:eastAsia="仿宋_GB2312" w:hAnsi="仿宋_GB2312" w:cs="仿宋_GB2312" w:hint="eastAsia"/>
          <w:color w:val="000000"/>
          <w:sz w:val="32"/>
          <w:szCs w:val="32"/>
        </w:rPr>
        <w:t>紧盯</w:t>
      </w:r>
      <w:r>
        <w:rPr>
          <w:rFonts w:ascii="仿宋_GB2312" w:eastAsia="仿宋_GB2312" w:hAnsi="仿宋_GB2312" w:cs="仿宋_GB2312" w:hint="eastAsia"/>
          <w:color w:val="000000"/>
          <w:sz w:val="32"/>
          <w:szCs w:val="32"/>
        </w:rPr>
        <w:t>各项税</w:t>
      </w:r>
      <w:r>
        <w:rPr>
          <w:rFonts w:ascii="仿宋_GB2312" w:eastAsia="仿宋_GB2312" w:hAnsi="仿宋_GB2312" w:cs="仿宋_GB2312" w:hint="eastAsia"/>
          <w:color w:val="000000"/>
          <w:sz w:val="32"/>
          <w:szCs w:val="32"/>
        </w:rPr>
        <w:t>费</w:t>
      </w:r>
      <w:r>
        <w:rPr>
          <w:rFonts w:ascii="仿宋_GB2312" w:eastAsia="仿宋_GB2312" w:hAnsi="仿宋_GB2312" w:cs="仿宋_GB2312" w:hint="eastAsia"/>
          <w:color w:val="000000"/>
          <w:sz w:val="32"/>
          <w:szCs w:val="32"/>
        </w:rPr>
        <w:t>政策、法律、规章，税政股、法制股以及纳税服务股及时进行研究，</w:t>
      </w:r>
      <w:r>
        <w:rPr>
          <w:rFonts w:ascii="仿宋_GB2312" w:eastAsia="仿宋_GB2312" w:hAnsi="仿宋_GB2312" w:cs="仿宋_GB2312" w:hint="eastAsia"/>
          <w:color w:val="000000"/>
          <w:sz w:val="32"/>
          <w:szCs w:val="32"/>
        </w:rPr>
        <w:t>学懂、吃透相关文件</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并及时</w:t>
      </w:r>
      <w:r>
        <w:rPr>
          <w:rFonts w:ascii="仿宋_GB2312" w:eastAsia="仿宋_GB2312" w:hAnsi="仿宋_GB2312" w:cs="仿宋_GB2312" w:hint="eastAsia"/>
          <w:color w:val="000000"/>
          <w:sz w:val="32"/>
          <w:szCs w:val="32"/>
        </w:rPr>
        <w:t>通过政府门户网站、办税服务厅、新闻媒体等</w:t>
      </w:r>
      <w:r>
        <w:rPr>
          <w:rFonts w:ascii="仿宋_GB2312" w:eastAsia="仿宋_GB2312" w:hAnsi="仿宋_GB2312" w:cs="仿宋_GB2312" w:hint="eastAsia"/>
          <w:color w:val="000000"/>
          <w:sz w:val="32"/>
          <w:szCs w:val="32"/>
        </w:rPr>
        <w:t>载体</w:t>
      </w:r>
      <w:r>
        <w:rPr>
          <w:rFonts w:ascii="仿宋_GB2312" w:eastAsia="仿宋_GB2312" w:hAnsi="仿宋_GB2312" w:cs="仿宋_GB2312" w:hint="eastAsia"/>
          <w:color w:val="000000"/>
          <w:sz w:val="32"/>
          <w:szCs w:val="32"/>
        </w:rPr>
        <w:t>，做好相关税</w:t>
      </w:r>
      <w:r>
        <w:rPr>
          <w:rFonts w:ascii="仿宋_GB2312" w:eastAsia="仿宋_GB2312" w:hAnsi="仿宋_GB2312" w:cs="仿宋_GB2312" w:hint="eastAsia"/>
          <w:color w:val="000000"/>
          <w:sz w:val="32"/>
          <w:szCs w:val="32"/>
        </w:rPr>
        <w:t>费</w:t>
      </w:r>
      <w:r>
        <w:rPr>
          <w:rFonts w:ascii="仿宋_GB2312" w:eastAsia="仿宋_GB2312" w:hAnsi="仿宋_GB2312" w:cs="仿宋_GB2312" w:hint="eastAsia"/>
          <w:color w:val="000000"/>
          <w:sz w:val="32"/>
          <w:szCs w:val="32"/>
        </w:rPr>
        <w:t>政策</w:t>
      </w:r>
      <w:r>
        <w:rPr>
          <w:rFonts w:ascii="仿宋_GB2312" w:eastAsia="仿宋_GB2312" w:hAnsi="仿宋_GB2312" w:cs="仿宋_GB2312" w:hint="eastAsia"/>
          <w:color w:val="000000"/>
          <w:sz w:val="32"/>
          <w:szCs w:val="32"/>
        </w:rPr>
        <w:t>的解读和公开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确保政策红利实打实落地</w:t>
      </w:r>
      <w:r>
        <w:rPr>
          <w:rFonts w:ascii="仿宋_GB2312" w:eastAsia="仿宋_GB2312" w:hAnsi="仿宋_GB2312" w:cs="仿宋_GB2312" w:hint="eastAsia"/>
          <w:color w:val="000000"/>
          <w:sz w:val="32"/>
          <w:szCs w:val="32"/>
        </w:rPr>
        <w:t>。</w:t>
      </w:r>
      <w:r>
        <w:rPr>
          <w:rFonts w:ascii="仿宋_GB2312" w:eastAsia="仿宋_GB2312" w:hAnsi="微软雅黑" w:cs="宋体" w:hint="eastAsia"/>
          <w:color w:val="000000"/>
          <w:kern w:val="0"/>
          <w:sz w:val="32"/>
          <w:szCs w:val="32"/>
        </w:rPr>
        <w:t>三</w:t>
      </w:r>
      <w:r>
        <w:rPr>
          <w:rFonts w:ascii="仿宋_GB2312" w:eastAsia="仿宋_GB2312" w:hAnsi="微软雅黑" w:cs="宋体" w:hint="eastAsia"/>
          <w:b/>
          <w:bCs/>
          <w:color w:val="000000"/>
          <w:kern w:val="0"/>
          <w:sz w:val="32"/>
        </w:rPr>
        <w:t>是</w:t>
      </w:r>
      <w:r>
        <w:rPr>
          <w:rFonts w:ascii="仿宋_GB2312" w:eastAsia="仿宋_GB2312" w:hAnsi="微软雅黑" w:cs="宋体" w:hint="eastAsia"/>
          <w:b/>
          <w:bCs/>
          <w:color w:val="000000"/>
          <w:kern w:val="0"/>
          <w:sz w:val="32"/>
        </w:rPr>
        <w:t>加强业务学习</w:t>
      </w:r>
      <w:r>
        <w:rPr>
          <w:rFonts w:ascii="仿宋_GB2312" w:eastAsia="仿宋_GB2312" w:hAnsi="微软雅黑" w:cs="宋体" w:hint="eastAsia"/>
          <w:b/>
          <w:bCs/>
          <w:color w:val="000000"/>
          <w:kern w:val="0"/>
          <w:sz w:val="32"/>
        </w:rPr>
        <w:t>。</w:t>
      </w:r>
      <w:r>
        <w:rPr>
          <w:rFonts w:ascii="仿宋_GB2312" w:eastAsia="仿宋_GB2312" w:hAnsi="仿宋_GB2312" w:cs="仿宋_GB2312" w:hint="eastAsia"/>
          <w:color w:val="000000"/>
          <w:sz w:val="32"/>
          <w:szCs w:val="32"/>
        </w:rPr>
        <w:t>定期</w:t>
      </w:r>
      <w:r>
        <w:rPr>
          <w:rFonts w:ascii="仿宋_GB2312" w:eastAsia="仿宋_GB2312" w:hAnsi="仿宋_GB2312" w:cs="仿宋_GB2312" w:hint="eastAsia"/>
          <w:color w:val="000000"/>
          <w:sz w:val="32"/>
          <w:szCs w:val="32"/>
        </w:rPr>
        <w:t>组织</w:t>
      </w:r>
      <w:r>
        <w:rPr>
          <w:rFonts w:ascii="仿宋_GB2312" w:eastAsia="仿宋_GB2312" w:hAnsi="仿宋_GB2312" w:cs="仿宋_GB2312" w:hint="eastAsia"/>
          <w:color w:val="000000"/>
          <w:sz w:val="32"/>
          <w:szCs w:val="32"/>
        </w:rPr>
        <w:t>学习</w:t>
      </w:r>
      <w:r>
        <w:rPr>
          <w:rFonts w:ascii="仿宋_GB2312" w:eastAsia="仿宋_GB2312" w:hAnsi="仿宋_GB2312" w:cs="仿宋_GB2312" w:hint="eastAsia"/>
          <w:color w:val="000000"/>
          <w:sz w:val="32"/>
          <w:szCs w:val="32"/>
        </w:rPr>
        <w:t>培训，</w:t>
      </w:r>
      <w:r>
        <w:rPr>
          <w:rFonts w:ascii="仿宋_GB2312" w:eastAsia="仿宋_GB2312" w:hAnsi="仿宋_GB2312" w:cs="仿宋_GB2312" w:hint="eastAsia"/>
          <w:color w:val="000000"/>
          <w:sz w:val="32"/>
          <w:szCs w:val="32"/>
        </w:rPr>
        <w:t>尤其是政务公开的相关规定要求</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掌握</w:t>
      </w:r>
      <w:r>
        <w:rPr>
          <w:rFonts w:ascii="仿宋_GB2312" w:eastAsia="仿宋_GB2312" w:hAnsi="仿宋_GB2312" w:cs="仿宋_GB2312" w:hint="eastAsia"/>
          <w:color w:val="000000"/>
          <w:sz w:val="32"/>
          <w:szCs w:val="32"/>
        </w:rPr>
        <w:t>重点工作</w:t>
      </w:r>
      <w:r>
        <w:rPr>
          <w:rFonts w:ascii="仿宋_GB2312" w:eastAsia="仿宋_GB2312" w:hAnsi="仿宋_GB2312" w:cs="仿宋_GB2312" w:hint="eastAsia"/>
          <w:color w:val="000000"/>
          <w:sz w:val="32"/>
          <w:szCs w:val="32"/>
        </w:rPr>
        <w:t>推进情况</w:t>
      </w:r>
      <w:r>
        <w:rPr>
          <w:rFonts w:ascii="仿宋_GB2312" w:eastAsia="仿宋_GB2312" w:hAnsi="仿宋_GB2312" w:cs="仿宋_GB2312" w:hint="eastAsia"/>
          <w:color w:val="000000"/>
          <w:sz w:val="32"/>
          <w:szCs w:val="32"/>
        </w:rPr>
        <w:t>。加强队伍建设，提高服务水平，加强政府信息公开</w:t>
      </w:r>
      <w:r>
        <w:rPr>
          <w:rFonts w:ascii="仿宋_GB2312" w:eastAsia="仿宋_GB2312" w:hAnsi="仿宋_GB2312" w:cs="仿宋_GB2312" w:hint="eastAsia"/>
          <w:color w:val="000000"/>
          <w:sz w:val="32"/>
          <w:szCs w:val="32"/>
        </w:rPr>
        <w:t>人才的培养、激励和管理，有计划地开展相关培训，形成一支业务熟、素质高的专业化队伍，提升技术力量整体素质。</w:t>
      </w:r>
    </w:p>
    <w:p w:rsidR="009E4A99" w:rsidRDefault="00CB1BDB">
      <w:pPr>
        <w:widowControl/>
        <w:spacing w:line="405" w:lineRule="atLeast"/>
        <w:ind w:firstLine="630"/>
        <w:jc w:val="left"/>
        <w:rPr>
          <w:rFonts w:ascii="微软雅黑" w:eastAsia="微软雅黑" w:hAnsi="微软雅黑" w:cs="宋体"/>
          <w:color w:val="000000"/>
          <w:kern w:val="0"/>
          <w:sz w:val="27"/>
          <w:szCs w:val="27"/>
        </w:rPr>
      </w:pPr>
      <w:r>
        <w:rPr>
          <w:rFonts w:ascii="黑体" w:eastAsia="黑体" w:hAnsi="黑体" w:cs="宋体" w:hint="eastAsia"/>
          <w:color w:val="333333"/>
          <w:kern w:val="0"/>
          <w:sz w:val="32"/>
          <w:szCs w:val="32"/>
        </w:rPr>
        <w:t>六、其他需要报告的事项</w:t>
      </w:r>
    </w:p>
    <w:p w:rsidR="004A432F" w:rsidRDefault="004A432F" w:rsidP="004A432F">
      <w:pPr>
        <w:spacing w:line="360" w:lineRule="auto"/>
        <w:ind w:firstLineChars="200" w:firstLine="640"/>
        <w:rPr>
          <w:rFonts w:ascii="仿宋_GB2312" w:eastAsia="仿宋_GB2312" w:hAnsi="华文仿宋"/>
          <w:sz w:val="32"/>
          <w:szCs w:val="32"/>
        </w:rPr>
      </w:pPr>
      <w:r>
        <w:rPr>
          <w:rFonts w:ascii="仿宋_GB2312" w:eastAsia="仿宋_GB2312" w:hAnsi="华文仿宋" w:hint="eastAsia"/>
          <w:sz w:val="32"/>
          <w:szCs w:val="32"/>
        </w:rPr>
        <w:t>本报告中相关数据为</w:t>
      </w:r>
      <w:r>
        <w:rPr>
          <w:rFonts w:ascii="仿宋_GB2312" w:eastAsia="仿宋_GB2312" w:hAnsi="仿宋_GB2312" w:cs="仿宋_GB2312" w:hint="eastAsia"/>
          <w:color w:val="000000"/>
          <w:sz w:val="32"/>
          <w:szCs w:val="32"/>
        </w:rPr>
        <w:t>国家税务总局遵义市红花岗区税务局</w:t>
      </w:r>
      <w:r>
        <w:rPr>
          <w:rFonts w:ascii="仿宋_GB2312" w:eastAsia="仿宋_GB2312" w:hAnsi="华文仿宋" w:hint="eastAsia"/>
          <w:sz w:val="32"/>
          <w:szCs w:val="32"/>
        </w:rPr>
        <w:t>数据。</w:t>
      </w:r>
    </w:p>
    <w:p w:rsidR="004A432F" w:rsidRDefault="004A432F" w:rsidP="004A432F">
      <w:pPr>
        <w:spacing w:line="360" w:lineRule="auto"/>
        <w:ind w:firstLineChars="200" w:firstLine="640"/>
      </w:pPr>
      <w:r>
        <w:rPr>
          <w:rFonts w:ascii="仿宋_GB2312" w:eastAsia="仿宋_GB2312" w:hAnsi="华文仿宋" w:hint="eastAsia"/>
          <w:sz w:val="32"/>
          <w:szCs w:val="32"/>
        </w:rPr>
        <w:t>国家税务总局贵州省税务局网站网址为http//guizhou.chinatax.gov.cn/，如需查阅本报告电子版，请登录查询。接收社会监督。</w:t>
      </w:r>
    </w:p>
    <w:p w:rsidR="004A432F" w:rsidRDefault="004A432F" w:rsidP="004A432F"/>
    <w:p w:rsidR="009E4A99" w:rsidRDefault="00CB1BDB">
      <w:pPr>
        <w:widowControl/>
        <w:jc w:val="left"/>
        <w:rPr>
          <w:rFonts w:ascii="微软雅黑" w:eastAsia="微软雅黑" w:hAnsi="微软雅黑" w:cs="宋体"/>
          <w:color w:val="000000"/>
          <w:kern w:val="0"/>
          <w:sz w:val="27"/>
          <w:szCs w:val="27"/>
        </w:rPr>
      </w:pPr>
      <w:r>
        <w:rPr>
          <w:rFonts w:ascii="Times New Roman" w:eastAsia="微软雅黑" w:hAnsi="Times New Roman" w:cs="Times New Roman"/>
          <w:color w:val="000000"/>
          <w:kern w:val="0"/>
          <w:szCs w:val="21"/>
        </w:rPr>
        <w:lastRenderedPageBreak/>
        <w:t> </w:t>
      </w:r>
    </w:p>
    <w:p w:rsidR="009E4A99" w:rsidRDefault="009E4A99"/>
    <w:sectPr w:rsidR="009E4A99" w:rsidSect="009E4A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BDB" w:rsidRDefault="00CB1BDB" w:rsidP="004A432F">
      <w:r>
        <w:separator/>
      </w:r>
    </w:p>
  </w:endnote>
  <w:endnote w:type="continuationSeparator" w:id="1">
    <w:p w:rsidR="00CB1BDB" w:rsidRDefault="00CB1BDB" w:rsidP="004A43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楷体">
    <w:altName w:val="楷体_GB2312"/>
    <w:charset w:val="86"/>
    <w:family w:val="modern"/>
    <w:pitch w:val="default"/>
    <w:sig w:usb0="00000000" w:usb1="0000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BDB" w:rsidRDefault="00CB1BDB" w:rsidP="004A432F">
      <w:r>
        <w:separator/>
      </w:r>
    </w:p>
  </w:footnote>
  <w:footnote w:type="continuationSeparator" w:id="1">
    <w:p w:rsidR="00CB1BDB" w:rsidRDefault="00CB1BDB" w:rsidP="004A43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875"/>
    <w:rsid w:val="0005118B"/>
    <w:rsid w:val="000B4245"/>
    <w:rsid w:val="00102359"/>
    <w:rsid w:val="001734B2"/>
    <w:rsid w:val="001A520A"/>
    <w:rsid w:val="003E21FA"/>
    <w:rsid w:val="004A432F"/>
    <w:rsid w:val="005772EA"/>
    <w:rsid w:val="006453AC"/>
    <w:rsid w:val="007703DF"/>
    <w:rsid w:val="007F34ED"/>
    <w:rsid w:val="009E4A99"/>
    <w:rsid w:val="00A239E7"/>
    <w:rsid w:val="00AC76F2"/>
    <w:rsid w:val="00CB1BDB"/>
    <w:rsid w:val="00D33CA3"/>
    <w:rsid w:val="00E5007E"/>
    <w:rsid w:val="00F43875"/>
    <w:rsid w:val="336811F7"/>
    <w:rsid w:val="3A833876"/>
    <w:rsid w:val="48CA4037"/>
    <w:rsid w:val="57B61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E4A99"/>
    <w:pPr>
      <w:widowControl w:val="0"/>
      <w:jc w:val="both"/>
    </w:pPr>
    <w:rPr>
      <w:kern w:val="2"/>
      <w:sz w:val="21"/>
      <w:szCs w:val="22"/>
    </w:rPr>
  </w:style>
  <w:style w:type="paragraph" w:styleId="1">
    <w:name w:val="heading 1"/>
    <w:basedOn w:val="a"/>
    <w:next w:val="a"/>
    <w:link w:val="1Char"/>
    <w:uiPriority w:val="9"/>
    <w:qFormat/>
    <w:rsid w:val="009E4A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3"/>
    <w:uiPriority w:val="99"/>
    <w:qFormat/>
    <w:rsid w:val="009E4A99"/>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9E4A99"/>
    <w:pPr>
      <w:widowControl w:val="0"/>
      <w:jc w:val="both"/>
    </w:pPr>
    <w:rPr>
      <w:rFonts w:ascii="Times New Roman" w:eastAsia="宋体" w:hAnsi="Times New Roman" w:cs="Times New Roman"/>
      <w:kern w:val="2"/>
      <w:sz w:val="21"/>
      <w:szCs w:val="22"/>
    </w:rPr>
  </w:style>
  <w:style w:type="paragraph" w:styleId="a3">
    <w:name w:val="Normal (Web)"/>
    <w:basedOn w:val="a"/>
    <w:next w:val="9"/>
    <w:uiPriority w:val="99"/>
    <w:unhideWhenUsed/>
    <w:qFormat/>
    <w:rsid w:val="009E4A99"/>
    <w:pPr>
      <w:widowControl/>
      <w:spacing w:before="100" w:beforeAutospacing="1" w:after="100" w:afterAutospacing="1"/>
      <w:jc w:val="left"/>
    </w:pPr>
    <w:rPr>
      <w:rFonts w:ascii="宋体" w:eastAsia="宋体" w:hAnsi="宋体" w:cs="宋体"/>
      <w:kern w:val="0"/>
      <w:sz w:val="24"/>
      <w:szCs w:val="24"/>
    </w:rPr>
  </w:style>
  <w:style w:type="paragraph" w:styleId="9">
    <w:name w:val="index 9"/>
    <w:basedOn w:val="a"/>
    <w:next w:val="a"/>
    <w:uiPriority w:val="99"/>
    <w:semiHidden/>
    <w:qFormat/>
    <w:rsid w:val="009E4A99"/>
    <w:pPr>
      <w:ind w:left="3360"/>
    </w:pPr>
  </w:style>
  <w:style w:type="paragraph" w:styleId="a4">
    <w:name w:val="footer"/>
    <w:basedOn w:val="a"/>
    <w:next w:val="a"/>
    <w:link w:val="Char"/>
    <w:uiPriority w:val="99"/>
    <w:semiHidden/>
    <w:unhideWhenUsed/>
    <w:qFormat/>
    <w:rsid w:val="009E4A99"/>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9E4A99"/>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9E4A99"/>
    <w:rPr>
      <w:b/>
      <w:bCs/>
    </w:rPr>
  </w:style>
  <w:style w:type="character" w:styleId="a7">
    <w:name w:val="Hyperlink"/>
    <w:basedOn w:val="a0"/>
    <w:uiPriority w:val="99"/>
    <w:semiHidden/>
    <w:unhideWhenUsed/>
    <w:rsid w:val="009E4A99"/>
    <w:rPr>
      <w:color w:val="0000FF"/>
      <w:u w:val="single"/>
    </w:rPr>
  </w:style>
  <w:style w:type="character" w:customStyle="1" w:styleId="Char0">
    <w:name w:val="页眉 Char"/>
    <w:basedOn w:val="a0"/>
    <w:link w:val="a5"/>
    <w:uiPriority w:val="99"/>
    <w:semiHidden/>
    <w:rsid w:val="009E4A99"/>
    <w:rPr>
      <w:sz w:val="18"/>
      <w:szCs w:val="18"/>
    </w:rPr>
  </w:style>
  <w:style w:type="character" w:customStyle="1" w:styleId="Char">
    <w:name w:val="页脚 Char"/>
    <w:basedOn w:val="a0"/>
    <w:link w:val="a4"/>
    <w:uiPriority w:val="99"/>
    <w:semiHidden/>
    <w:rsid w:val="009E4A99"/>
    <w:rPr>
      <w:sz w:val="18"/>
      <w:szCs w:val="18"/>
    </w:rPr>
  </w:style>
  <w:style w:type="character" w:customStyle="1" w:styleId="1Char">
    <w:name w:val="标题 1 Char"/>
    <w:basedOn w:val="a0"/>
    <w:link w:val="1"/>
    <w:uiPriority w:val="9"/>
    <w:rsid w:val="009E4A9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459</Words>
  <Characters>2618</Characters>
  <Application>Microsoft Office Word</Application>
  <DocSecurity>0</DocSecurity>
  <Lines>21</Lines>
  <Paragraphs>6</Paragraphs>
  <ScaleCrop>false</ScaleCrop>
  <Company>china</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区国税局收发员</dc:creator>
  <cp:lastModifiedBy>陈剑锋</cp:lastModifiedBy>
  <cp:revision>8</cp:revision>
  <dcterms:created xsi:type="dcterms:W3CDTF">2024-01-16T02:40:00Z</dcterms:created>
  <dcterms:modified xsi:type="dcterms:W3CDTF">2024-01-30T02:26:00Z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