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68" w:rsidRDefault="00062BB6">
      <w:pPr>
        <w:widowControl/>
        <w:spacing w:line="760" w:lineRule="exact"/>
        <w:ind w:firstLineChars="200" w:firstLine="880"/>
        <w:jc w:val="center"/>
        <w:rPr>
          <w:rStyle w:val="dhgao"/>
          <w:rFonts w:ascii="方正小标宋简体" w:eastAsia="方正小标宋简体" w:hAnsi="微软雅黑"/>
          <w:color w:val="323534"/>
          <w:sz w:val="44"/>
          <w:szCs w:val="44"/>
        </w:rPr>
      </w:pPr>
      <w:r>
        <w:rPr>
          <w:rStyle w:val="dhgao"/>
          <w:rFonts w:ascii="方正小标宋简体" w:eastAsia="方正小标宋简体" w:hAnsi="微软雅黑" w:hint="eastAsia"/>
          <w:color w:val="323534"/>
          <w:sz w:val="44"/>
          <w:szCs w:val="44"/>
        </w:rPr>
        <w:t>国家税务总局赤水市税务局</w:t>
      </w:r>
    </w:p>
    <w:p w:rsidR="001C6B68" w:rsidRDefault="00062BB6">
      <w:pPr>
        <w:widowControl/>
        <w:spacing w:line="760" w:lineRule="exact"/>
        <w:ind w:firstLineChars="200" w:firstLine="880"/>
        <w:jc w:val="center"/>
        <w:rPr>
          <w:rStyle w:val="dhgao"/>
          <w:rFonts w:ascii="方正小标宋简体" w:eastAsia="方正小标宋简体" w:hAnsi="微软雅黑"/>
          <w:color w:val="323534"/>
          <w:sz w:val="44"/>
          <w:szCs w:val="44"/>
        </w:rPr>
      </w:pPr>
      <w:r>
        <w:rPr>
          <w:rStyle w:val="dhgao"/>
          <w:rFonts w:ascii="方正小标宋简体" w:eastAsia="方正小标宋简体" w:hAnsi="微软雅黑" w:hint="eastAsia"/>
          <w:color w:val="323534"/>
          <w:sz w:val="44"/>
          <w:szCs w:val="44"/>
        </w:rPr>
        <w:t>202</w:t>
      </w:r>
      <w:r>
        <w:rPr>
          <w:rStyle w:val="dhgao"/>
          <w:rFonts w:ascii="方正小标宋简体" w:eastAsia="方正小标宋简体" w:hAnsi="微软雅黑" w:hint="eastAsia"/>
          <w:color w:val="323534"/>
          <w:sz w:val="44"/>
          <w:szCs w:val="44"/>
        </w:rPr>
        <w:t>3</w:t>
      </w:r>
      <w:r>
        <w:rPr>
          <w:rStyle w:val="dhgao"/>
          <w:rFonts w:ascii="方正小标宋简体" w:eastAsia="方正小标宋简体" w:hAnsi="微软雅黑" w:hint="eastAsia"/>
          <w:color w:val="323534"/>
          <w:sz w:val="44"/>
          <w:szCs w:val="44"/>
        </w:rPr>
        <w:t>年政府信息公开工作</w:t>
      </w:r>
      <w:r w:rsidR="00A90F5F">
        <w:rPr>
          <w:rStyle w:val="dhgao"/>
          <w:rFonts w:ascii="方正小标宋简体" w:eastAsia="方正小标宋简体" w:hAnsi="微软雅黑" w:hint="eastAsia"/>
          <w:color w:val="323534"/>
          <w:sz w:val="44"/>
          <w:szCs w:val="44"/>
        </w:rPr>
        <w:t>年度</w:t>
      </w:r>
      <w:r>
        <w:rPr>
          <w:rStyle w:val="dhgao"/>
          <w:rFonts w:ascii="方正小标宋简体" w:eastAsia="方正小标宋简体" w:hAnsi="微软雅黑" w:hint="eastAsia"/>
          <w:color w:val="323534"/>
          <w:sz w:val="44"/>
          <w:szCs w:val="44"/>
        </w:rPr>
        <w:t>报告</w:t>
      </w:r>
    </w:p>
    <w:p w:rsidR="001C6B68" w:rsidRDefault="001C6B68">
      <w:pPr>
        <w:widowControl/>
        <w:spacing w:line="560" w:lineRule="exact"/>
        <w:ind w:firstLineChars="200" w:firstLine="880"/>
        <w:jc w:val="center"/>
        <w:rPr>
          <w:rStyle w:val="dhgao"/>
          <w:rFonts w:ascii="方正小标宋简体" w:eastAsia="方正小标宋简体" w:hAnsi="微软雅黑"/>
          <w:color w:val="323534"/>
          <w:sz w:val="44"/>
          <w:szCs w:val="44"/>
        </w:rPr>
      </w:pPr>
    </w:p>
    <w:p w:rsidR="001C6B68" w:rsidRDefault="00A90F5F">
      <w:pPr>
        <w:spacing w:line="560" w:lineRule="exact"/>
        <w:ind w:firstLineChars="200" w:firstLine="640"/>
        <w:rPr>
          <w:rFonts w:ascii="宋体" w:hAnsi="宋体" w:cs="宋体"/>
        </w:rPr>
      </w:pPr>
      <w:r>
        <w:rPr>
          <w:rFonts w:hint="eastAsia"/>
        </w:rPr>
        <w:t>根据《中华人民共和国政府信息公开条例》第五十条之规定，制作本报告。</w:t>
      </w:r>
    </w:p>
    <w:p w:rsidR="001C6B68" w:rsidRDefault="00062BB6">
      <w:pPr>
        <w:spacing w:line="560" w:lineRule="exact"/>
        <w:ind w:firstLineChars="200" w:firstLine="640"/>
        <w:rPr>
          <w:rFonts w:ascii="黑体" w:eastAsia="黑体" w:hAnsi="黑体" w:cs="黑体"/>
        </w:rPr>
      </w:pPr>
      <w:r>
        <w:rPr>
          <w:rFonts w:ascii="黑体" w:eastAsia="黑体" w:hAnsi="黑体" w:cs="黑体" w:hint="eastAsia"/>
        </w:rPr>
        <w:t>一、总体情况</w:t>
      </w:r>
    </w:p>
    <w:p w:rsidR="001C6B68" w:rsidRDefault="00062BB6">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rPr>
        <w:t>（一）主动公开政府信息情况</w:t>
      </w:r>
    </w:p>
    <w:p w:rsidR="001C6B68" w:rsidRDefault="00062BB6">
      <w:pPr>
        <w:spacing w:line="560" w:lineRule="exact"/>
        <w:ind w:firstLineChars="200" w:firstLine="640"/>
        <w:rPr>
          <w:rFonts w:ascii="仿宋_GB2312" w:hAnsi="宋体" w:cs="宋体"/>
        </w:rPr>
      </w:pPr>
      <w:r>
        <w:rPr>
          <w:rFonts w:ascii="仿宋_GB2312" w:hAnsi="宋体" w:cs="宋体" w:hint="eastAsia"/>
        </w:rPr>
        <w:t>赤水市税务局高度重视政府</w:t>
      </w:r>
      <w:bookmarkStart w:id="0" w:name="_GoBack"/>
      <w:bookmarkEnd w:id="0"/>
      <w:r>
        <w:rPr>
          <w:rFonts w:ascii="仿宋_GB2312" w:hAnsi="宋体" w:cs="宋体" w:hint="eastAsia"/>
        </w:rPr>
        <w:t>信息公开工作，</w:t>
      </w:r>
      <w:r>
        <w:rPr>
          <w:rFonts w:ascii="仿宋_GB2312" w:hAnsi="宋体" w:cs="宋体" w:hint="eastAsia"/>
        </w:rPr>
        <w:t>认真贯彻落实省局、市局和</w:t>
      </w:r>
      <w:r>
        <w:rPr>
          <w:rFonts w:ascii="仿宋_GB2312" w:hAnsi="宋体" w:cs="宋体" w:hint="eastAsia"/>
        </w:rPr>
        <w:t>赤水</w:t>
      </w:r>
      <w:r>
        <w:rPr>
          <w:rFonts w:ascii="仿宋_GB2312" w:hAnsi="宋体" w:cs="宋体" w:hint="eastAsia"/>
        </w:rPr>
        <w:t>市委市政府关于</w:t>
      </w:r>
      <w:r>
        <w:rPr>
          <w:rFonts w:ascii="仿宋_GB2312" w:hAnsi="宋体" w:cs="宋体" w:hint="eastAsia"/>
        </w:rPr>
        <w:t>政府信息</w:t>
      </w:r>
      <w:r>
        <w:rPr>
          <w:rFonts w:ascii="仿宋_GB2312" w:hAnsi="宋体" w:cs="宋体" w:hint="eastAsia"/>
        </w:rPr>
        <w:t>公开工作的部署和要求，上下共推、协</w:t>
      </w:r>
      <w:r>
        <w:rPr>
          <w:rFonts w:ascii="仿宋_GB2312" w:hAnsi="宋体" w:cs="宋体" w:hint="eastAsia"/>
        </w:rPr>
        <w:t>同</w:t>
      </w:r>
      <w:r>
        <w:rPr>
          <w:rFonts w:ascii="仿宋_GB2312" w:hAnsi="宋体" w:cs="宋体" w:hint="eastAsia"/>
        </w:rPr>
        <w:t>处理</w:t>
      </w:r>
      <w:r>
        <w:rPr>
          <w:rFonts w:ascii="仿宋_GB2312" w:hAnsi="宋体" w:cs="宋体" w:hint="eastAsia"/>
        </w:rPr>
        <w:t>；</w:t>
      </w:r>
      <w:r>
        <w:rPr>
          <w:rFonts w:ascii="仿宋_GB2312" w:hAnsi="宋体" w:cs="宋体" w:hint="eastAsia"/>
        </w:rPr>
        <w:t>积极落实中办、国办印发的《关于进一步深化税收征管改革的意见》系列工作，对最新出台的相关税收优惠政策进行宣传公开。</w:t>
      </w:r>
    </w:p>
    <w:p w:rsidR="001C6B68" w:rsidRDefault="00062BB6">
      <w:pPr>
        <w:spacing w:line="560" w:lineRule="exact"/>
        <w:ind w:firstLineChars="200" w:firstLine="640"/>
        <w:rPr>
          <w:rFonts w:ascii="仿宋_GB2312" w:hAnsi="宋体" w:cs="宋体"/>
        </w:rPr>
      </w:pPr>
      <w:r>
        <w:rPr>
          <w:rFonts w:hAnsi="仿宋_GB2312" w:cs="仿宋_GB2312" w:hint="eastAsia"/>
          <w:szCs w:val="32"/>
        </w:rPr>
        <w:t>全面推行行政执法“三项制度”，主动向社会公开有关税收执法信息</w:t>
      </w:r>
      <w:r>
        <w:rPr>
          <w:rFonts w:ascii="仿宋_GB2312" w:hAnsi="仿宋_GB2312" w:cs="仿宋_GB2312" w:hint="eastAsia"/>
          <w:szCs w:val="32"/>
        </w:rPr>
        <w:t>，</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年通过信用中国网站公布</w:t>
      </w:r>
      <w:r>
        <w:rPr>
          <w:rFonts w:ascii="仿宋_GB2312" w:hAnsi="仿宋_GB2312" w:cs="仿宋_GB2312" w:hint="eastAsia"/>
          <w:szCs w:val="32"/>
        </w:rPr>
        <w:t>行政许可</w:t>
      </w:r>
      <w:r>
        <w:rPr>
          <w:rFonts w:ascii="仿宋_GB2312" w:hAnsi="仿宋_GB2312" w:cs="仿宋_GB2312" w:hint="eastAsia"/>
          <w:szCs w:val="32"/>
        </w:rPr>
        <w:t>701</w:t>
      </w:r>
      <w:r>
        <w:rPr>
          <w:rFonts w:ascii="仿宋_GB2312" w:hAnsi="仿宋_GB2312" w:cs="仿宋_GB2312" w:hint="eastAsia"/>
          <w:szCs w:val="32"/>
        </w:rPr>
        <w:t>条</w:t>
      </w:r>
      <w:r>
        <w:rPr>
          <w:rFonts w:ascii="仿宋_GB2312" w:hAnsi="仿宋_GB2312" w:cs="仿宋_GB2312" w:hint="eastAsia"/>
          <w:szCs w:val="32"/>
        </w:rPr>
        <w:t>；行政处罚</w:t>
      </w:r>
      <w:r>
        <w:rPr>
          <w:rFonts w:ascii="仿宋_GB2312" w:hAnsi="仿宋_GB2312" w:cs="仿宋_GB2312" w:hint="eastAsia"/>
          <w:szCs w:val="32"/>
        </w:rPr>
        <w:t>1177</w:t>
      </w:r>
      <w:r>
        <w:rPr>
          <w:rFonts w:ascii="仿宋_GB2312" w:hAnsi="仿宋_GB2312" w:cs="仿宋_GB2312" w:hint="eastAsia"/>
          <w:szCs w:val="32"/>
        </w:rPr>
        <w:t>条</w:t>
      </w:r>
      <w:r>
        <w:rPr>
          <w:rFonts w:ascii="仿宋_GB2312" w:hAnsi="仿宋_GB2312" w:cs="仿宋_GB2312" w:hint="eastAsia"/>
          <w:szCs w:val="32"/>
        </w:rPr>
        <w:t>；</w:t>
      </w:r>
      <w:r>
        <w:rPr>
          <w:rFonts w:ascii="仿宋_GB2312" w:hAnsi="仿宋_GB2312" w:cs="仿宋_GB2312" w:hint="eastAsia"/>
          <w:szCs w:val="32"/>
        </w:rPr>
        <w:t>全面公开各类税收政策，</w:t>
      </w:r>
      <w:r>
        <w:rPr>
          <w:rFonts w:ascii="仿宋_GB2312" w:hAnsi="仿宋_GB2312" w:cs="仿宋_GB2312" w:hint="eastAsia"/>
          <w:szCs w:val="32"/>
        </w:rPr>
        <w:t>通过“分散</w:t>
      </w:r>
      <w:r>
        <w:rPr>
          <w:rFonts w:ascii="仿宋_GB2312" w:hAnsi="仿宋_GB2312" w:cs="仿宋_GB2312" w:hint="eastAsia"/>
          <w:szCs w:val="32"/>
        </w:rPr>
        <w:t>+</w:t>
      </w:r>
      <w:r>
        <w:rPr>
          <w:rFonts w:ascii="仿宋_GB2312" w:hAnsi="仿宋_GB2312" w:cs="仿宋_GB2312" w:hint="eastAsia"/>
          <w:szCs w:val="32"/>
        </w:rPr>
        <w:t>集中”“线上</w:t>
      </w:r>
      <w:r>
        <w:rPr>
          <w:rFonts w:ascii="仿宋_GB2312" w:hAnsi="仿宋_GB2312" w:cs="仿宋_GB2312" w:hint="eastAsia"/>
          <w:szCs w:val="32"/>
        </w:rPr>
        <w:t>+</w:t>
      </w:r>
      <w:r>
        <w:rPr>
          <w:rFonts w:ascii="仿宋_GB2312" w:hAnsi="仿宋_GB2312" w:cs="仿宋_GB2312" w:hint="eastAsia"/>
          <w:szCs w:val="32"/>
        </w:rPr>
        <w:t>线下”的方式，大力宣传税收优惠政策，确保纳税人应享尽享。</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组织纳税人开展线下培训</w:t>
      </w:r>
      <w:r>
        <w:rPr>
          <w:rFonts w:ascii="仿宋_GB2312" w:hAnsi="仿宋_GB2312" w:cs="仿宋_GB2312" w:hint="eastAsia"/>
          <w:szCs w:val="32"/>
        </w:rPr>
        <w:t>12</w:t>
      </w:r>
      <w:r>
        <w:rPr>
          <w:rFonts w:ascii="仿宋_GB2312" w:hAnsi="仿宋_GB2312" w:cs="仿宋_GB2312" w:hint="eastAsia"/>
          <w:szCs w:val="32"/>
        </w:rPr>
        <w:t>余次，共计</w:t>
      </w:r>
      <w:r>
        <w:rPr>
          <w:rFonts w:ascii="仿宋_GB2312" w:hAnsi="仿宋_GB2312" w:cs="仿宋_GB2312" w:hint="eastAsia"/>
          <w:szCs w:val="32"/>
        </w:rPr>
        <w:t>700</w:t>
      </w:r>
      <w:r>
        <w:rPr>
          <w:rFonts w:ascii="仿宋_GB2312" w:hAnsi="仿宋_GB2312" w:cs="仿宋_GB2312" w:hint="eastAsia"/>
          <w:szCs w:val="32"/>
        </w:rPr>
        <w:t>余人次参训</w:t>
      </w:r>
      <w:r>
        <w:rPr>
          <w:rFonts w:ascii="仿宋_GB2312" w:hAnsi="仿宋_GB2312" w:cs="仿宋_GB2312" w:hint="eastAsia"/>
          <w:szCs w:val="32"/>
        </w:rPr>
        <w:t>；</w:t>
      </w:r>
      <w:r>
        <w:rPr>
          <w:rFonts w:ascii="仿宋_GB2312" w:hAnsi="仿宋_GB2312" w:cs="仿宋_GB2312" w:hint="eastAsia"/>
          <w:szCs w:val="32"/>
        </w:rPr>
        <w:t>开展入企走访、包保走访、首访服务、首席税费服务专员等各类走访共计</w:t>
      </w:r>
      <w:r>
        <w:rPr>
          <w:rFonts w:ascii="仿宋_GB2312" w:hAnsi="仿宋_GB2312" w:cs="仿宋_GB2312" w:hint="eastAsia"/>
          <w:szCs w:val="32"/>
        </w:rPr>
        <w:t>900</w:t>
      </w:r>
      <w:r>
        <w:rPr>
          <w:rFonts w:ascii="仿宋_GB2312" w:hAnsi="仿宋_GB2312" w:cs="仿宋_GB2312" w:hint="eastAsia"/>
          <w:szCs w:val="32"/>
        </w:rPr>
        <w:t>余户次，收集化解诉求</w:t>
      </w:r>
      <w:r>
        <w:rPr>
          <w:rFonts w:ascii="仿宋_GB2312" w:hAnsi="仿宋_GB2312" w:cs="仿宋_GB2312" w:hint="eastAsia"/>
          <w:szCs w:val="32"/>
        </w:rPr>
        <w:t>70</w:t>
      </w:r>
      <w:r>
        <w:rPr>
          <w:rFonts w:ascii="仿宋_GB2312" w:hAnsi="仿宋_GB2312" w:cs="仿宋_GB2312" w:hint="eastAsia"/>
          <w:szCs w:val="32"/>
        </w:rPr>
        <w:t>余个</w:t>
      </w:r>
      <w:r>
        <w:rPr>
          <w:rFonts w:ascii="仿宋_GB2312" w:hAnsi="仿宋_GB2312" w:cs="仿宋_GB2312" w:hint="eastAsia"/>
          <w:szCs w:val="32"/>
        </w:rPr>
        <w:t>；</w:t>
      </w:r>
      <w:r>
        <w:rPr>
          <w:rFonts w:ascii="仿宋_GB2312" w:hAnsi="仿宋_GB2312" w:cs="仿宋_GB2312" w:hint="eastAsia"/>
          <w:szCs w:val="32"/>
        </w:rPr>
        <w:t>发放税收优惠政策宣传资料</w:t>
      </w:r>
      <w:r>
        <w:rPr>
          <w:rFonts w:ascii="仿宋_GB2312" w:hAnsi="仿宋_GB2312" w:cs="仿宋_GB2312" w:hint="eastAsia"/>
          <w:szCs w:val="32"/>
        </w:rPr>
        <w:t>1500</w:t>
      </w:r>
      <w:r>
        <w:rPr>
          <w:rFonts w:ascii="仿宋_GB2312" w:hAnsi="仿宋_GB2312" w:cs="仿宋_GB2312" w:hint="eastAsia"/>
          <w:szCs w:val="32"/>
        </w:rPr>
        <w:t>余份</w:t>
      </w:r>
      <w:r>
        <w:rPr>
          <w:rFonts w:ascii="仿宋_GB2312" w:hAnsi="仿宋_GB2312" w:cs="仿宋_GB2312" w:hint="eastAsia"/>
          <w:szCs w:val="32"/>
        </w:rPr>
        <w:t>；通过进社区进企业等方式开展专题普法活动</w:t>
      </w:r>
      <w:r>
        <w:rPr>
          <w:rFonts w:ascii="仿宋_GB2312" w:hAnsi="仿宋_GB2312" w:cs="仿宋_GB2312" w:hint="eastAsia"/>
          <w:szCs w:val="32"/>
        </w:rPr>
        <w:t>6</w:t>
      </w:r>
      <w:r>
        <w:rPr>
          <w:rFonts w:ascii="仿宋_GB2312" w:hAnsi="仿宋_GB2312" w:cs="仿宋_GB2312" w:hint="eastAsia"/>
          <w:szCs w:val="32"/>
        </w:rPr>
        <w:t>次，包含税法宣传、宪法宣传、反诈骗宣传、禁毒宣传等内容</w:t>
      </w:r>
      <w:r>
        <w:rPr>
          <w:rFonts w:ascii="仿宋_GB2312" w:hAnsi="宋体" w:cs="宋体" w:hint="eastAsia"/>
        </w:rPr>
        <w:t>。</w:t>
      </w:r>
      <w:r>
        <w:rPr>
          <w:rFonts w:ascii="仿宋_GB2312" w:hAnsi="仿宋_GB2312" w:cs="仿宋_GB2312" w:hint="eastAsia"/>
          <w:szCs w:val="32"/>
        </w:rPr>
        <w:t>通过税企互动平台开展直播培训</w:t>
      </w:r>
      <w:r>
        <w:rPr>
          <w:rFonts w:ascii="仿宋_GB2312" w:hAnsi="仿宋_GB2312" w:cs="仿宋_GB2312" w:hint="eastAsia"/>
          <w:szCs w:val="32"/>
        </w:rPr>
        <w:t>11</w:t>
      </w:r>
      <w:r>
        <w:rPr>
          <w:rFonts w:ascii="仿宋_GB2312" w:hAnsi="仿宋_GB2312" w:cs="仿宋_GB2312" w:hint="eastAsia"/>
          <w:szCs w:val="32"/>
        </w:rPr>
        <w:t>余次，共计</w:t>
      </w:r>
      <w:r>
        <w:rPr>
          <w:rFonts w:ascii="仿宋_GB2312" w:hAnsi="仿宋_GB2312" w:cs="仿宋_GB2312" w:hint="eastAsia"/>
          <w:szCs w:val="32"/>
        </w:rPr>
        <w:t>2000</w:t>
      </w:r>
      <w:r>
        <w:rPr>
          <w:rFonts w:ascii="仿宋_GB2312" w:hAnsi="仿宋_GB2312" w:cs="仿宋_GB2312" w:hint="eastAsia"/>
          <w:szCs w:val="32"/>
        </w:rPr>
        <w:t>余人次观看；推送税收政策消息</w:t>
      </w:r>
      <w:r>
        <w:rPr>
          <w:rFonts w:ascii="仿宋_GB2312" w:hAnsi="仿宋_GB2312" w:cs="仿宋_GB2312" w:hint="eastAsia"/>
          <w:szCs w:val="32"/>
        </w:rPr>
        <w:t>6</w:t>
      </w:r>
      <w:r>
        <w:rPr>
          <w:rFonts w:ascii="仿宋_GB2312" w:hAnsi="仿宋_GB2312" w:cs="仿宋_GB2312" w:hint="eastAsia"/>
          <w:szCs w:val="32"/>
        </w:rPr>
        <w:t>5</w:t>
      </w:r>
      <w:r>
        <w:rPr>
          <w:rFonts w:ascii="仿宋_GB2312" w:hAnsi="仿宋_GB2312" w:cs="仿宋_GB2312" w:hint="eastAsia"/>
          <w:szCs w:val="32"/>
        </w:rPr>
        <w:t>余次，</w:t>
      </w:r>
      <w:r>
        <w:rPr>
          <w:rFonts w:ascii="仿宋_GB2312" w:hAnsi="仿宋_GB2312" w:cs="仿宋_GB2312" w:hint="eastAsia"/>
          <w:szCs w:val="32"/>
        </w:rPr>
        <w:t>推送</w:t>
      </w:r>
      <w:r>
        <w:rPr>
          <w:rFonts w:ascii="仿宋_GB2312" w:hAnsi="仿宋_GB2312" w:cs="仿宋_GB2312" w:hint="eastAsia"/>
          <w:szCs w:val="32"/>
        </w:rPr>
        <w:t>2</w:t>
      </w:r>
      <w:r>
        <w:rPr>
          <w:rFonts w:ascii="仿宋_GB2312" w:hAnsi="仿宋_GB2312" w:cs="仿宋_GB2312" w:hint="eastAsia"/>
          <w:szCs w:val="32"/>
        </w:rPr>
        <w:t>2</w:t>
      </w:r>
      <w:r>
        <w:rPr>
          <w:rFonts w:ascii="仿宋_GB2312" w:hAnsi="仿宋_GB2312" w:cs="仿宋_GB2312" w:hint="eastAsia"/>
          <w:szCs w:val="32"/>
        </w:rPr>
        <w:t>万余人次</w:t>
      </w:r>
      <w:r>
        <w:rPr>
          <w:rFonts w:ascii="仿宋_GB2312" w:hAnsi="仿宋_GB2312" w:cs="仿宋_GB2312" w:hint="eastAsia"/>
          <w:szCs w:val="32"/>
        </w:rPr>
        <w:t>。</w:t>
      </w:r>
    </w:p>
    <w:p w:rsidR="001C6B68" w:rsidRDefault="00062BB6">
      <w:pPr>
        <w:pStyle w:val="1"/>
        <w:spacing w:line="560" w:lineRule="exact"/>
        <w:ind w:firstLine="640"/>
        <w:rPr>
          <w:rFonts w:ascii="楷体_GB2312" w:eastAsia="楷体_GB2312" w:hAnsi="楷体_GB2312" w:cs="楷体_GB2312"/>
        </w:rPr>
      </w:pPr>
      <w:r>
        <w:rPr>
          <w:rFonts w:ascii="楷体_GB2312" w:eastAsia="楷体_GB2312" w:hAnsi="楷体_GB2312" w:cs="楷体_GB2312" w:hint="eastAsia"/>
        </w:rPr>
        <w:lastRenderedPageBreak/>
        <w:t>（二）依申请公开政府信息情况</w:t>
      </w:r>
    </w:p>
    <w:p w:rsidR="001C6B68" w:rsidRDefault="00062BB6">
      <w:pPr>
        <w:pStyle w:val="a4"/>
        <w:widowControl/>
        <w:shd w:val="clear" w:color="auto" w:fill="FFFFFF"/>
        <w:spacing w:before="0" w:beforeAutospacing="0" w:after="0" w:afterAutospacing="0" w:line="560" w:lineRule="exact"/>
        <w:ind w:firstLineChars="200" w:firstLine="640"/>
        <w:jc w:val="both"/>
        <w:rPr>
          <w:rFonts w:ascii="仿宋_GB2312" w:eastAsia="仿宋_GB2312" w:hAnsi="宋体" w:cs="宋体"/>
        </w:rPr>
      </w:pPr>
      <w:r>
        <w:rPr>
          <w:rFonts w:eastAsia="仿宋_GB2312" w:hAnsi="仿宋_GB2312" w:cs="仿宋_GB2312" w:hint="eastAsia"/>
          <w:kern w:val="2"/>
          <w:sz w:val="32"/>
          <w:szCs w:val="32"/>
        </w:rPr>
        <w:t>深入贯彻实施《</w:t>
      </w:r>
      <w:r>
        <w:rPr>
          <w:rFonts w:ascii="仿宋_GB2312" w:eastAsia="仿宋_GB2312" w:hAnsi="宋体" w:cs="宋体" w:hint="eastAsia"/>
          <w:sz w:val="32"/>
          <w:szCs w:val="22"/>
        </w:rPr>
        <w:t>中华人民共和国政府信息公开条例</w:t>
      </w:r>
      <w:r>
        <w:rPr>
          <w:rFonts w:eastAsia="仿宋_GB2312" w:hAnsi="仿宋_GB2312" w:cs="仿宋_GB2312" w:hint="eastAsia"/>
          <w:kern w:val="2"/>
          <w:sz w:val="32"/>
          <w:szCs w:val="32"/>
        </w:rPr>
        <w:t>》，积极做好政府信息依申请公</w:t>
      </w:r>
      <w:r>
        <w:rPr>
          <w:rFonts w:ascii="仿宋_GB2312" w:eastAsia="仿宋_GB2312" w:hAnsi="仿宋_GB2312" w:cs="仿宋_GB2312" w:hint="eastAsia"/>
          <w:kern w:val="2"/>
          <w:sz w:val="32"/>
          <w:szCs w:val="32"/>
        </w:rPr>
        <w:t>开工作。</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全局受理政府信息公开申请</w:t>
      </w:r>
      <w:r>
        <w:rPr>
          <w:rFonts w:ascii="仿宋_GB2312" w:eastAsia="仿宋_GB2312" w:hAnsi="仿宋_GB2312" w:cs="仿宋_GB2312" w:hint="eastAsia"/>
          <w:kern w:val="2"/>
          <w:sz w:val="32"/>
          <w:szCs w:val="32"/>
        </w:rPr>
        <w:t>0</w:t>
      </w:r>
      <w:r>
        <w:rPr>
          <w:rFonts w:ascii="仿宋_GB2312" w:eastAsia="仿宋_GB2312" w:hAnsi="仿宋_GB2312" w:cs="仿宋_GB2312" w:hint="eastAsia"/>
          <w:kern w:val="2"/>
          <w:sz w:val="32"/>
          <w:szCs w:val="32"/>
        </w:rPr>
        <w:t>件。</w:t>
      </w:r>
    </w:p>
    <w:p w:rsidR="001C6B68" w:rsidRDefault="00062BB6">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rPr>
        <w:t>（三）政府信息管理情况</w:t>
      </w:r>
    </w:p>
    <w:p w:rsidR="001C6B68" w:rsidRDefault="00062BB6">
      <w:pPr>
        <w:spacing w:line="560" w:lineRule="exact"/>
        <w:ind w:firstLineChars="200" w:firstLine="640"/>
      </w:pPr>
      <w:r>
        <w:rPr>
          <w:rFonts w:hint="eastAsia"/>
        </w:rPr>
        <w:t>推进政府信息公开，是加强对权力运行制约和监督的重要手段，赤水市税务局不断推进政府信息公开力度，树立底线思维，强化风险意识，依法满足人民群众对税务系统政府信息特别是执法信息公开的合理需求，自觉接受社会各界的监督。按照“谁主管、谁负责，谁公开、谁审查”原则，进一步完善政务公开相关制度，做好信息发布工作。</w:t>
      </w:r>
    </w:p>
    <w:p w:rsidR="001C6B68" w:rsidRDefault="00062BB6">
      <w:pPr>
        <w:pStyle w:val="1"/>
        <w:spacing w:line="560" w:lineRule="exact"/>
        <w:ind w:firstLine="640"/>
        <w:rPr>
          <w:rFonts w:ascii="仿宋_GB2312" w:eastAsia="仿宋_GB2312" w:hAnsi="宋体" w:cs="宋体"/>
        </w:rPr>
      </w:pPr>
      <w:r>
        <w:rPr>
          <w:rFonts w:ascii="仿宋_GB2312" w:eastAsia="仿宋_GB2312" w:hAnsi="宋体" w:cs="宋体" w:hint="eastAsia"/>
        </w:rPr>
        <w:t>要求各部门在对外报送相关信息前，先由部门负责人审核、再经办公室审核后才能对外报送，进一步加强审核把关工作，确保做到事前审批。</w:t>
      </w:r>
    </w:p>
    <w:p w:rsidR="001C6B68" w:rsidRDefault="00062BB6">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rPr>
        <w:t>（四）平台建设情况</w:t>
      </w:r>
    </w:p>
    <w:p w:rsidR="001C6B68" w:rsidRDefault="00062BB6">
      <w:pPr>
        <w:spacing w:line="560" w:lineRule="exact"/>
        <w:ind w:firstLineChars="200" w:firstLine="640"/>
        <w:rPr>
          <w:rFonts w:ascii="仿宋_GB2312"/>
        </w:rPr>
      </w:pPr>
      <w:r>
        <w:rPr>
          <w:rFonts w:ascii="仿宋_GB2312" w:hAnsi="仿宋_GB2312" w:cs="仿宋_GB2312" w:hint="eastAsia"/>
          <w:szCs w:val="32"/>
        </w:rPr>
        <w:t>围绕“智慧税务助发展，惠企利民稳增长”的</w:t>
      </w:r>
      <w:r>
        <w:rPr>
          <w:rFonts w:ascii="仿宋_GB2312" w:hAnsi="仿宋_GB2312" w:cs="仿宋_GB2312" w:hint="eastAsia"/>
          <w:szCs w:val="32"/>
        </w:rPr>
        <w:t>主题，落实好组合式税费支持政策，</w:t>
      </w:r>
      <w:r>
        <w:rPr>
          <w:rFonts w:ascii="仿宋_GB2312" w:hint="eastAsia"/>
        </w:rPr>
        <w:t>利用网站平台、微信纳税服务工作群和税企服务平台，全面提升政务公开工作水平。</w:t>
      </w:r>
      <w:r>
        <w:rPr>
          <w:rFonts w:ascii="仿宋_GB2312" w:hAnsi="宋体" w:cs="宋体" w:hint="eastAsia"/>
        </w:rPr>
        <w:t>对纳税人和缴费人关注的热点难点问题予以</w:t>
      </w:r>
      <w:r>
        <w:rPr>
          <w:rFonts w:ascii="仿宋_GB2312" w:hAnsi="宋体" w:cs="宋体" w:hint="eastAsia"/>
        </w:rPr>
        <w:t>及时</w:t>
      </w:r>
      <w:r>
        <w:rPr>
          <w:rFonts w:ascii="仿宋_GB2312" w:hAnsi="宋体" w:cs="宋体" w:hint="eastAsia"/>
        </w:rPr>
        <w:t>回应</w:t>
      </w:r>
      <w:r>
        <w:rPr>
          <w:rFonts w:ascii="仿宋_GB2312" w:hAnsi="宋体" w:cs="宋体" w:hint="eastAsia"/>
        </w:rPr>
        <w:t>，利用线上宣传阵地</w:t>
      </w:r>
      <w:r>
        <w:rPr>
          <w:rFonts w:ascii="仿宋_GB2312" w:hAnsi="宋体" w:cs="宋体" w:hint="eastAsia"/>
        </w:rPr>
        <w:t>，第一时间发布总局、省局、市局的各项</w:t>
      </w:r>
      <w:r>
        <w:rPr>
          <w:rFonts w:ascii="仿宋_GB2312" w:hAnsi="宋体" w:cs="宋体" w:hint="eastAsia"/>
        </w:rPr>
        <w:t>税费支持</w:t>
      </w:r>
      <w:r>
        <w:rPr>
          <w:rFonts w:ascii="仿宋_GB2312" w:hAnsi="宋体" w:cs="宋体" w:hint="eastAsia"/>
        </w:rPr>
        <w:t>政策，要求各管理分局将税收优惠政策转发至纳税服务工作群，保证纳税人“应</w:t>
      </w:r>
      <w:r>
        <w:rPr>
          <w:rFonts w:ascii="仿宋_GB2312" w:hAnsi="宋体" w:cs="宋体" w:hint="eastAsia"/>
        </w:rPr>
        <w:t>知</w:t>
      </w:r>
      <w:r>
        <w:rPr>
          <w:rFonts w:ascii="仿宋_GB2312" w:hAnsi="宋体" w:cs="宋体" w:hint="eastAsia"/>
        </w:rPr>
        <w:t>尽</w:t>
      </w:r>
      <w:r>
        <w:rPr>
          <w:rFonts w:ascii="仿宋_GB2312" w:hAnsi="宋体" w:cs="宋体" w:hint="eastAsia"/>
        </w:rPr>
        <w:t>知</w:t>
      </w:r>
      <w:r>
        <w:rPr>
          <w:rFonts w:ascii="仿宋_GB2312" w:hAnsi="宋体" w:cs="宋体" w:hint="eastAsia"/>
        </w:rPr>
        <w:t>”。</w:t>
      </w:r>
      <w:r>
        <w:rPr>
          <w:rFonts w:ascii="仿宋_GB2312" w:hAnsi="宋体" w:cs="宋体" w:hint="eastAsia"/>
        </w:rPr>
        <w:t>利用线下沟通阵地，开展线下集中培训、个性化一对一走访，针对性解决纳税人疑难杂症，保证纳税人“应享尽享”。</w:t>
      </w:r>
    </w:p>
    <w:p w:rsidR="001C6B68" w:rsidRDefault="00062BB6">
      <w:pPr>
        <w:pStyle w:val="a4"/>
        <w:widowControl/>
        <w:shd w:val="clear" w:color="auto" w:fill="FFFFFF"/>
        <w:spacing w:before="0" w:beforeAutospacing="0" w:after="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lastRenderedPageBreak/>
        <w:t>（五）监督保障情况</w:t>
      </w:r>
    </w:p>
    <w:p w:rsidR="001C6B68" w:rsidRDefault="00062BB6">
      <w:pPr>
        <w:pStyle w:val="a4"/>
        <w:widowControl/>
        <w:shd w:val="clear" w:color="auto" w:fill="FFFFFF"/>
        <w:spacing w:before="0" w:beforeAutospacing="0" w:after="0" w:afterAutospacing="0" w:line="560" w:lineRule="exact"/>
        <w:ind w:firstLineChars="200" w:firstLine="640"/>
        <w:jc w:val="both"/>
      </w:pPr>
      <w:r>
        <w:rPr>
          <w:rFonts w:eastAsia="仿宋_GB2312" w:hAnsi="仿宋_GB2312" w:cs="仿宋_GB2312" w:hint="eastAsia"/>
          <w:kern w:val="2"/>
          <w:sz w:val="32"/>
          <w:szCs w:val="32"/>
        </w:rPr>
        <w:t>将政务公开工作纳入年度绩效考核，强化监督保障，抓好工作落实。对重要信息不发布、重大政策不解读、热点回应不及时的，进行批评、公开通报；对弄虚作假、隐瞒实情、欺骗公众，造成严重社会影响的，追究相关单位和人员责任。</w:t>
      </w:r>
    </w:p>
    <w:p w:rsidR="001C6B68" w:rsidRDefault="00062BB6">
      <w:pPr>
        <w:numPr>
          <w:ilvl w:val="0"/>
          <w:numId w:val="1"/>
        </w:numPr>
        <w:spacing w:line="560" w:lineRule="exact"/>
        <w:ind w:firstLineChars="200" w:firstLine="640"/>
        <w:rPr>
          <w:rFonts w:ascii="黑体" w:eastAsia="黑体" w:hAnsi="黑体" w:cs="黑体"/>
        </w:rPr>
      </w:pPr>
      <w:r>
        <w:rPr>
          <w:rFonts w:ascii="黑体" w:eastAsia="黑体" w:hAnsi="黑体" w:cs="黑体" w:hint="eastAsia"/>
        </w:rPr>
        <w:t>主动公开政府信息情况</w:t>
      </w:r>
    </w:p>
    <w:tbl>
      <w:tblPr>
        <w:tblW w:w="8455" w:type="dxa"/>
        <w:jc w:val="center"/>
        <w:tblLook w:val="04A0"/>
      </w:tblPr>
      <w:tblGrid>
        <w:gridCol w:w="2042"/>
        <w:gridCol w:w="2094"/>
        <w:gridCol w:w="2389"/>
        <w:gridCol w:w="1930"/>
      </w:tblGrid>
      <w:tr w:rsidR="001C6B68">
        <w:trPr>
          <w:trHeight w:val="340"/>
          <w:jc w:val="center"/>
        </w:trPr>
        <w:tc>
          <w:tcPr>
            <w:tcW w:w="8455" w:type="dxa"/>
            <w:gridSpan w:val="4"/>
            <w:tcBorders>
              <w:top w:val="single" w:sz="8"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第二十条第（一）项</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信息内容</w:t>
            </w:r>
          </w:p>
        </w:tc>
        <w:tc>
          <w:tcPr>
            <w:tcW w:w="2094" w:type="dxa"/>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本年制发件数</w:t>
            </w:r>
          </w:p>
        </w:tc>
        <w:tc>
          <w:tcPr>
            <w:tcW w:w="2389" w:type="dxa"/>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本年废止件数</w:t>
            </w:r>
          </w:p>
        </w:tc>
        <w:tc>
          <w:tcPr>
            <w:tcW w:w="1930" w:type="dxa"/>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现行有效件数</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规章</w:t>
            </w:r>
          </w:p>
        </w:tc>
        <w:tc>
          <w:tcPr>
            <w:tcW w:w="2094"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238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193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20"/>
              <w:jc w:val="center"/>
              <w:rPr>
                <w:rFonts w:ascii="仿宋_GB2312" w:hAnsi="仿宋_GB2312" w:cs="仿宋_GB2312"/>
                <w:color w:val="000000"/>
              </w:rPr>
            </w:pPr>
            <w:r>
              <w:rPr>
                <w:rFonts w:ascii="仿宋_GB2312" w:hAnsi="仿宋_GB2312" w:cs="仿宋_GB2312" w:hint="eastAsia"/>
                <w:color w:val="000000"/>
                <w:sz w:val="21"/>
                <w:szCs w:val="24"/>
                <w:lang/>
              </w:rPr>
              <w:t>0</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行政规范性文件</w:t>
            </w:r>
          </w:p>
        </w:tc>
        <w:tc>
          <w:tcPr>
            <w:tcW w:w="2094"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238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193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20"/>
              <w:jc w:val="center"/>
              <w:rPr>
                <w:rFonts w:ascii="仿宋_GB2312" w:hAnsi="仿宋_GB2312" w:cs="仿宋_GB2312"/>
                <w:color w:val="000000"/>
              </w:rPr>
            </w:pPr>
            <w:r>
              <w:rPr>
                <w:rFonts w:ascii="仿宋_GB2312" w:hAnsi="仿宋_GB2312" w:cs="仿宋_GB2312" w:hint="eastAsia"/>
                <w:color w:val="000000"/>
                <w:sz w:val="21"/>
                <w:szCs w:val="24"/>
                <w:lang/>
              </w:rPr>
              <w:t>0</w:t>
            </w:r>
          </w:p>
        </w:tc>
      </w:tr>
      <w:tr w:rsidR="001C6B68">
        <w:trPr>
          <w:trHeight w:val="340"/>
          <w:jc w:val="center"/>
        </w:trPr>
        <w:tc>
          <w:tcPr>
            <w:tcW w:w="8455" w:type="dxa"/>
            <w:gridSpan w:val="4"/>
            <w:tcBorders>
              <w:top w:val="single" w:sz="8"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第二十条第（五）项</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信息内容</w:t>
            </w:r>
          </w:p>
        </w:tc>
        <w:tc>
          <w:tcPr>
            <w:tcW w:w="6413" w:type="dxa"/>
            <w:gridSpan w:val="3"/>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本年处理决定数量</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行政许可</w:t>
            </w:r>
          </w:p>
        </w:tc>
        <w:tc>
          <w:tcPr>
            <w:tcW w:w="6413" w:type="dxa"/>
            <w:gridSpan w:val="3"/>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20"/>
              <w:jc w:val="center"/>
              <w:rPr>
                <w:rFonts w:ascii="仿宋_GB2312" w:hAnsi="仿宋_GB2312" w:cs="仿宋_GB2312"/>
                <w:color w:val="000000"/>
              </w:rPr>
            </w:pPr>
            <w:r>
              <w:rPr>
                <w:rFonts w:ascii="仿宋_GB2312" w:hAnsi="仿宋_GB2312" w:cs="仿宋_GB2312" w:hint="eastAsia"/>
                <w:color w:val="000000"/>
                <w:kern w:val="0"/>
                <w:sz w:val="21"/>
                <w:szCs w:val="21"/>
                <w:lang/>
              </w:rPr>
              <w:t>701</w:t>
            </w:r>
          </w:p>
        </w:tc>
      </w:tr>
      <w:tr w:rsidR="001C6B68">
        <w:trPr>
          <w:trHeight w:val="340"/>
          <w:jc w:val="center"/>
        </w:trPr>
        <w:tc>
          <w:tcPr>
            <w:tcW w:w="8455" w:type="dxa"/>
            <w:gridSpan w:val="4"/>
            <w:tcBorders>
              <w:top w:val="single" w:sz="8"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第二十条第（六）项</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信息内容</w:t>
            </w:r>
          </w:p>
        </w:tc>
        <w:tc>
          <w:tcPr>
            <w:tcW w:w="6413" w:type="dxa"/>
            <w:gridSpan w:val="3"/>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本年处理决定数量</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行政处罚</w:t>
            </w:r>
          </w:p>
        </w:tc>
        <w:tc>
          <w:tcPr>
            <w:tcW w:w="6413" w:type="dxa"/>
            <w:gridSpan w:val="3"/>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1177</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行政强制</w:t>
            </w:r>
          </w:p>
        </w:tc>
        <w:tc>
          <w:tcPr>
            <w:tcW w:w="6413" w:type="dxa"/>
            <w:gridSpan w:val="3"/>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trHeight w:val="340"/>
          <w:jc w:val="center"/>
        </w:trPr>
        <w:tc>
          <w:tcPr>
            <w:tcW w:w="8455" w:type="dxa"/>
            <w:gridSpan w:val="4"/>
            <w:tcBorders>
              <w:top w:val="single" w:sz="8"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第二十条第（八）项</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信息内容</w:t>
            </w:r>
          </w:p>
        </w:tc>
        <w:tc>
          <w:tcPr>
            <w:tcW w:w="6413" w:type="dxa"/>
            <w:gridSpan w:val="3"/>
            <w:tcBorders>
              <w:top w:val="nil"/>
              <w:left w:val="nil"/>
              <w:bottom w:val="single" w:sz="8" w:space="0" w:color="auto"/>
              <w:right w:val="single" w:sz="8" w:space="0" w:color="000000"/>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本年收费金额（单位：万元）</w:t>
            </w:r>
          </w:p>
        </w:tc>
      </w:tr>
      <w:tr w:rsidR="001C6B68">
        <w:trPr>
          <w:trHeight w:val="340"/>
          <w:jc w:val="center"/>
        </w:trPr>
        <w:tc>
          <w:tcPr>
            <w:tcW w:w="2042"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行政事业性收费</w:t>
            </w:r>
          </w:p>
        </w:tc>
        <w:tc>
          <w:tcPr>
            <w:tcW w:w="6413" w:type="dxa"/>
            <w:gridSpan w:val="3"/>
            <w:tcBorders>
              <w:top w:val="nil"/>
              <w:left w:val="nil"/>
              <w:bottom w:val="single" w:sz="8" w:space="0" w:color="auto"/>
              <w:right w:val="single" w:sz="8" w:space="0" w:color="000000"/>
            </w:tcBorders>
            <w:shd w:val="clear" w:color="auto" w:fill="FFFFFF"/>
            <w:noWrap/>
            <w:tcMar>
              <w:left w:w="57" w:type="dxa"/>
              <w:right w:w="57" w:type="dxa"/>
            </w:tcMar>
            <w:vAlign w:val="center"/>
          </w:tcPr>
          <w:p w:rsidR="001C6B68" w:rsidRDefault="00062BB6">
            <w:pPr>
              <w:spacing w:line="560" w:lineRule="exact"/>
              <w:ind w:firstLineChars="200" w:firstLine="480"/>
              <w:jc w:val="center"/>
              <w:rPr>
                <w:rFonts w:ascii="仿宋_GB2312" w:hAnsi="仿宋_GB2312" w:cs="仿宋_GB2312"/>
                <w:color w:val="000000"/>
                <w:sz w:val="24"/>
                <w:szCs w:val="24"/>
              </w:rPr>
            </w:pPr>
            <w:r>
              <w:rPr>
                <w:rFonts w:ascii="仿宋_GB2312" w:hAnsi="仿宋_GB2312" w:cs="仿宋_GB2312" w:hint="eastAsia"/>
                <w:color w:val="000000"/>
                <w:sz w:val="24"/>
                <w:szCs w:val="24"/>
                <w:lang/>
              </w:rPr>
              <w:t>0</w:t>
            </w:r>
          </w:p>
        </w:tc>
      </w:tr>
    </w:tbl>
    <w:p w:rsidR="001C6B68" w:rsidRDefault="001C6B68">
      <w:pPr>
        <w:pStyle w:val="a0"/>
        <w:spacing w:line="560" w:lineRule="exact"/>
        <w:ind w:firstLineChars="200" w:firstLine="420"/>
      </w:pPr>
    </w:p>
    <w:p w:rsidR="001C6B68" w:rsidRDefault="00062BB6">
      <w:pPr>
        <w:numPr>
          <w:ilvl w:val="0"/>
          <w:numId w:val="1"/>
        </w:numPr>
        <w:spacing w:line="560" w:lineRule="exact"/>
        <w:ind w:firstLineChars="200" w:firstLine="640"/>
      </w:pPr>
      <w:r>
        <w:rPr>
          <w:rFonts w:ascii="黑体" w:eastAsia="黑体" w:hAnsi="黑体" w:cs="宋体" w:hint="eastAsia"/>
        </w:rPr>
        <w:t>收到和处理政府信息公开申请情况</w:t>
      </w:r>
    </w:p>
    <w:tbl>
      <w:tblPr>
        <w:tblW w:w="8607" w:type="dxa"/>
        <w:jc w:val="center"/>
        <w:tblBorders>
          <w:insideH w:val="outset" w:sz="6" w:space="0" w:color="auto"/>
          <w:insideV w:val="outset" w:sz="6" w:space="0" w:color="auto"/>
        </w:tblBorders>
        <w:tblLook w:val="04A0"/>
      </w:tblPr>
      <w:tblGrid>
        <w:gridCol w:w="514"/>
        <w:gridCol w:w="927"/>
        <w:gridCol w:w="2898"/>
        <w:gridCol w:w="633"/>
        <w:gridCol w:w="646"/>
        <w:gridCol w:w="646"/>
        <w:gridCol w:w="646"/>
        <w:gridCol w:w="646"/>
        <w:gridCol w:w="646"/>
        <w:gridCol w:w="646"/>
      </w:tblGrid>
      <w:tr w:rsidR="001C6B68">
        <w:trPr>
          <w:jc w:val="center"/>
        </w:trPr>
        <w:tc>
          <w:tcPr>
            <w:tcW w:w="4098" w:type="dxa"/>
            <w:gridSpan w:val="3"/>
            <w:vMerge w:val="restart"/>
            <w:tcBorders>
              <w:top w:val="single" w:sz="8" w:space="0" w:color="auto"/>
              <w:left w:val="single" w:sz="8" w:space="0" w:color="auto"/>
              <w:bottom w:val="inset"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（本列数据的勾稽关系为：第一项加第二项之和，等于第三项加第四项之和）</w:t>
            </w:r>
          </w:p>
        </w:tc>
        <w:tc>
          <w:tcPr>
            <w:tcW w:w="4509" w:type="dxa"/>
            <w:gridSpan w:val="7"/>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申请人情况</w:t>
            </w:r>
          </w:p>
        </w:tc>
      </w:tr>
      <w:tr w:rsidR="001C6B68">
        <w:trPr>
          <w:jc w:val="center"/>
        </w:trPr>
        <w:tc>
          <w:tcPr>
            <w:tcW w:w="4098" w:type="dxa"/>
            <w:gridSpan w:val="3"/>
            <w:vMerge/>
            <w:tcBorders>
              <w:top w:val="single" w:sz="8" w:space="0" w:color="auto"/>
              <w:left w:val="single" w:sz="8" w:space="0" w:color="auto"/>
              <w:bottom w:val="inset" w:sz="8" w:space="0" w:color="auto"/>
              <w:right w:val="single" w:sz="8" w:space="0" w:color="auto"/>
            </w:tcBorders>
            <w:shd w:val="clear" w:color="auto" w:fill="FFFFFF"/>
            <w:noWrap/>
            <w:vAlign w:val="center"/>
          </w:tcPr>
          <w:p w:rsidR="001C6B68" w:rsidRDefault="001C6B68">
            <w:pPr>
              <w:spacing w:line="560" w:lineRule="exact"/>
              <w:ind w:firstLineChars="200" w:firstLine="400"/>
              <w:rPr>
                <w:rFonts w:ascii="仿宋_GB2312" w:hAnsi="仿宋_GB2312" w:cs="仿宋_GB2312"/>
                <w:sz w:val="20"/>
                <w:szCs w:val="20"/>
              </w:rPr>
            </w:pPr>
          </w:p>
        </w:tc>
        <w:tc>
          <w:tcPr>
            <w:tcW w:w="633" w:type="dxa"/>
            <w:vMerge w:val="restart"/>
            <w:tcBorders>
              <w:top w:val="single" w:sz="2" w:space="0" w:color="auto"/>
              <w:left w:val="single" w:sz="2"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自</w:t>
            </w:r>
            <w:r>
              <w:rPr>
                <w:rFonts w:ascii="仿宋_GB2312" w:hAnsi="仿宋_GB2312" w:cs="仿宋_GB2312" w:hint="eastAsia"/>
                <w:color w:val="000000"/>
                <w:kern w:val="0"/>
                <w:sz w:val="20"/>
                <w:szCs w:val="20"/>
                <w:lang/>
              </w:rPr>
              <w:lastRenderedPageBreak/>
              <w:t>然人</w:t>
            </w:r>
          </w:p>
        </w:tc>
        <w:tc>
          <w:tcPr>
            <w:tcW w:w="3230" w:type="dxa"/>
            <w:gridSpan w:val="5"/>
            <w:tcBorders>
              <w:top w:val="single" w:sz="8"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lastRenderedPageBreak/>
              <w:t>法人或其他组织</w:t>
            </w:r>
          </w:p>
        </w:tc>
        <w:tc>
          <w:tcPr>
            <w:tcW w:w="646" w:type="dxa"/>
            <w:vMerge w:val="restart"/>
            <w:tcBorders>
              <w:top w:val="single" w:sz="8" w:space="0" w:color="auto"/>
              <w:left w:val="single" w:sz="2" w:space="0" w:color="auto"/>
              <w:bottom w:val="inset"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总</w:t>
            </w:r>
            <w:r>
              <w:rPr>
                <w:rFonts w:ascii="仿宋_GB2312" w:hAnsi="仿宋_GB2312" w:cs="仿宋_GB2312" w:hint="eastAsia"/>
                <w:color w:val="000000"/>
                <w:kern w:val="0"/>
                <w:sz w:val="20"/>
                <w:szCs w:val="20"/>
                <w:lang/>
              </w:rPr>
              <w:lastRenderedPageBreak/>
              <w:t>计</w:t>
            </w:r>
          </w:p>
        </w:tc>
      </w:tr>
      <w:tr w:rsidR="001C6B68">
        <w:trPr>
          <w:jc w:val="center"/>
        </w:trPr>
        <w:tc>
          <w:tcPr>
            <w:tcW w:w="4098" w:type="dxa"/>
            <w:gridSpan w:val="3"/>
            <w:vMerge/>
            <w:tcBorders>
              <w:top w:val="single" w:sz="8" w:space="0" w:color="auto"/>
              <w:left w:val="single" w:sz="8" w:space="0" w:color="auto"/>
              <w:bottom w:val="inset" w:sz="8" w:space="0" w:color="auto"/>
              <w:right w:val="single" w:sz="8" w:space="0" w:color="auto"/>
            </w:tcBorders>
            <w:shd w:val="clear" w:color="auto" w:fill="FFFFFF"/>
            <w:noWrap/>
            <w:vAlign w:val="center"/>
          </w:tcPr>
          <w:p w:rsidR="001C6B68" w:rsidRDefault="001C6B68">
            <w:pPr>
              <w:spacing w:line="560" w:lineRule="exact"/>
              <w:ind w:firstLineChars="200" w:firstLine="400"/>
              <w:rPr>
                <w:rFonts w:ascii="仿宋_GB2312" w:hAnsi="仿宋_GB2312" w:cs="仿宋_GB2312"/>
                <w:sz w:val="20"/>
                <w:szCs w:val="20"/>
              </w:rPr>
            </w:pPr>
          </w:p>
        </w:tc>
        <w:tc>
          <w:tcPr>
            <w:tcW w:w="633" w:type="dxa"/>
            <w:vMerge/>
            <w:tcBorders>
              <w:top w:val="single" w:sz="2" w:space="0" w:color="auto"/>
              <w:left w:val="single" w:sz="2" w:space="0" w:color="auto"/>
              <w:bottom w:val="single"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646" w:type="dxa"/>
            <w:tcBorders>
              <w:top w:val="single" w:sz="2"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商业</w:t>
            </w:r>
          </w:p>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企业</w:t>
            </w:r>
          </w:p>
        </w:tc>
        <w:tc>
          <w:tcPr>
            <w:tcW w:w="646" w:type="dxa"/>
            <w:tcBorders>
              <w:top w:val="single" w:sz="2"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科研</w:t>
            </w:r>
          </w:p>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机构</w:t>
            </w:r>
          </w:p>
        </w:tc>
        <w:tc>
          <w:tcPr>
            <w:tcW w:w="646" w:type="dxa"/>
            <w:tcBorders>
              <w:top w:val="single" w:sz="8"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社会公益组织</w:t>
            </w:r>
          </w:p>
        </w:tc>
        <w:tc>
          <w:tcPr>
            <w:tcW w:w="646" w:type="dxa"/>
            <w:tcBorders>
              <w:top w:val="single" w:sz="8"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法律服务机构</w:t>
            </w:r>
          </w:p>
        </w:tc>
        <w:tc>
          <w:tcPr>
            <w:tcW w:w="646" w:type="dxa"/>
            <w:tcBorders>
              <w:top w:val="single" w:sz="8" w:space="0" w:color="auto"/>
              <w:left w:val="single" w:sz="2" w:space="0" w:color="auto"/>
              <w:bottom w:val="single" w:sz="8" w:space="0" w:color="auto"/>
              <w:right w:val="single" w:sz="8" w:space="0" w:color="auto"/>
            </w:tcBorders>
            <w:shd w:val="clear" w:color="auto" w:fill="FFFFFF"/>
            <w:noWrap/>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其他</w:t>
            </w:r>
          </w:p>
        </w:tc>
        <w:tc>
          <w:tcPr>
            <w:tcW w:w="646" w:type="dxa"/>
            <w:vMerge/>
            <w:tcBorders>
              <w:top w:val="single" w:sz="8" w:space="0" w:color="auto"/>
              <w:left w:val="single" w:sz="2" w:space="0" w:color="auto"/>
              <w:bottom w:val="inset" w:sz="8" w:space="0" w:color="auto"/>
              <w:right w:val="single" w:sz="8" w:space="0" w:color="auto"/>
            </w:tcBorders>
            <w:shd w:val="clear" w:color="auto" w:fill="FFFFFF"/>
            <w:noWrap/>
            <w:vAlign w:val="center"/>
          </w:tcPr>
          <w:p w:rsidR="001C6B68" w:rsidRDefault="001C6B68">
            <w:pPr>
              <w:spacing w:line="560" w:lineRule="exact"/>
              <w:ind w:firstLineChars="200" w:firstLine="400"/>
              <w:rPr>
                <w:rFonts w:ascii="仿宋_GB2312" w:hAnsi="仿宋_GB2312" w:cs="仿宋_GB2312"/>
                <w:sz w:val="20"/>
                <w:szCs w:val="20"/>
              </w:rPr>
            </w:pPr>
          </w:p>
        </w:tc>
      </w:tr>
      <w:tr w:rsidR="001C6B68">
        <w:trPr>
          <w:jc w:val="center"/>
        </w:trPr>
        <w:tc>
          <w:tcPr>
            <w:tcW w:w="4098" w:type="dxa"/>
            <w:gridSpan w:val="3"/>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lastRenderedPageBreak/>
              <w:t>一、本年新收政府信息公开申请数量</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4098" w:type="dxa"/>
            <w:gridSpan w:val="3"/>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二、上年结转政府信息公开申请数量</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val="restart"/>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三、本年度办理结果</w:t>
            </w:r>
          </w:p>
        </w:tc>
        <w:tc>
          <w:tcPr>
            <w:tcW w:w="3825" w:type="dxa"/>
            <w:gridSpan w:val="2"/>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（一）予以公开</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3825" w:type="dxa"/>
            <w:gridSpan w:val="2"/>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（二）部分公开（区分处理的，只计这一情形，不计其他情形）</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val="restart"/>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（三）不予公开</w:t>
            </w: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1.</w:t>
            </w:r>
            <w:r>
              <w:rPr>
                <w:rFonts w:ascii="仿宋_GB2312" w:hAnsi="仿宋_GB2312" w:cs="仿宋_GB2312" w:hint="eastAsia"/>
                <w:color w:val="000000"/>
                <w:kern w:val="0"/>
                <w:sz w:val="20"/>
                <w:szCs w:val="20"/>
                <w:lang/>
              </w:rPr>
              <w:t>属于国家秘密</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8" w:space="0" w:color="auto"/>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2.</w:t>
            </w:r>
            <w:r>
              <w:rPr>
                <w:rFonts w:ascii="仿宋_GB2312" w:hAnsi="仿宋_GB2312" w:cs="仿宋_GB2312" w:hint="eastAsia"/>
                <w:color w:val="000000"/>
                <w:kern w:val="0"/>
                <w:sz w:val="20"/>
                <w:szCs w:val="20"/>
                <w:lang/>
              </w:rPr>
              <w:t>其他法律行政法规禁止公开</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3.</w:t>
            </w:r>
            <w:r>
              <w:rPr>
                <w:rFonts w:ascii="仿宋_GB2312" w:hAnsi="仿宋_GB2312" w:cs="仿宋_GB2312" w:hint="eastAsia"/>
                <w:color w:val="000000"/>
                <w:kern w:val="0"/>
                <w:sz w:val="20"/>
                <w:szCs w:val="20"/>
                <w:lang/>
              </w:rPr>
              <w:t>危及“三安全一稳定”</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4.</w:t>
            </w:r>
            <w:r>
              <w:rPr>
                <w:rFonts w:ascii="仿宋_GB2312" w:hAnsi="仿宋_GB2312" w:cs="仿宋_GB2312" w:hint="eastAsia"/>
                <w:color w:val="000000"/>
                <w:kern w:val="0"/>
                <w:sz w:val="20"/>
                <w:szCs w:val="20"/>
                <w:lang/>
              </w:rPr>
              <w:t>保护第三方合法权益</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5.</w:t>
            </w:r>
            <w:r>
              <w:rPr>
                <w:rFonts w:ascii="仿宋_GB2312" w:hAnsi="仿宋_GB2312" w:cs="仿宋_GB2312" w:hint="eastAsia"/>
                <w:color w:val="000000"/>
                <w:kern w:val="0"/>
                <w:sz w:val="20"/>
                <w:szCs w:val="20"/>
                <w:lang/>
              </w:rPr>
              <w:t>属于三类内部事务信息</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6.</w:t>
            </w:r>
            <w:r>
              <w:rPr>
                <w:rFonts w:ascii="仿宋_GB2312" w:hAnsi="仿宋_GB2312" w:cs="仿宋_GB2312" w:hint="eastAsia"/>
                <w:color w:val="000000"/>
                <w:kern w:val="0"/>
                <w:sz w:val="20"/>
                <w:szCs w:val="20"/>
                <w:lang/>
              </w:rPr>
              <w:t>属于四类过程性信息</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7.</w:t>
            </w:r>
            <w:r>
              <w:rPr>
                <w:rFonts w:ascii="仿宋_GB2312" w:hAnsi="仿宋_GB2312" w:cs="仿宋_GB2312" w:hint="eastAsia"/>
                <w:color w:val="000000"/>
                <w:kern w:val="0"/>
                <w:sz w:val="20"/>
                <w:szCs w:val="20"/>
                <w:lang/>
              </w:rPr>
              <w:t>属于行政执法案卷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8.</w:t>
            </w:r>
            <w:r>
              <w:rPr>
                <w:rFonts w:ascii="仿宋_GB2312" w:hAnsi="仿宋_GB2312" w:cs="仿宋_GB2312" w:hint="eastAsia"/>
                <w:color w:val="000000"/>
                <w:kern w:val="0"/>
                <w:sz w:val="20"/>
                <w:szCs w:val="20"/>
                <w:lang/>
              </w:rPr>
              <w:t>属于行政查询事项</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val="restart"/>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（四）无法提供</w:t>
            </w: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1.</w:t>
            </w:r>
            <w:r>
              <w:rPr>
                <w:rFonts w:ascii="仿宋_GB2312" w:hAnsi="仿宋_GB2312" w:cs="仿宋_GB2312" w:hint="eastAsia"/>
                <w:color w:val="000000"/>
                <w:kern w:val="0"/>
                <w:sz w:val="20"/>
                <w:szCs w:val="20"/>
                <w:lang/>
              </w:rPr>
              <w:t>本机关不掌握相关政府信息</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2.</w:t>
            </w:r>
            <w:r>
              <w:rPr>
                <w:rFonts w:ascii="仿宋_GB2312" w:hAnsi="仿宋_GB2312" w:cs="仿宋_GB2312" w:hint="eastAsia"/>
                <w:color w:val="000000"/>
                <w:kern w:val="0"/>
                <w:sz w:val="20"/>
                <w:szCs w:val="20"/>
                <w:lang/>
              </w:rPr>
              <w:t>没有现成信息需要另行制作</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3.</w:t>
            </w:r>
            <w:r>
              <w:rPr>
                <w:rFonts w:ascii="仿宋_GB2312" w:hAnsi="仿宋_GB2312" w:cs="仿宋_GB2312" w:hint="eastAsia"/>
                <w:color w:val="000000"/>
                <w:kern w:val="0"/>
                <w:sz w:val="20"/>
                <w:szCs w:val="20"/>
                <w:lang/>
              </w:rPr>
              <w:t>补正后申请内容仍不明确</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val="restart"/>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（五）不予处理</w:t>
            </w: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1.</w:t>
            </w:r>
            <w:r>
              <w:rPr>
                <w:rFonts w:ascii="仿宋_GB2312" w:hAnsi="仿宋_GB2312" w:cs="仿宋_GB2312" w:hint="eastAsia"/>
                <w:color w:val="000000"/>
                <w:kern w:val="0"/>
                <w:sz w:val="20"/>
                <w:szCs w:val="20"/>
                <w:lang/>
              </w:rPr>
              <w:t>信访举报投诉类申请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2.</w:t>
            </w:r>
            <w:r>
              <w:rPr>
                <w:rFonts w:ascii="仿宋_GB2312" w:hAnsi="仿宋_GB2312" w:cs="仿宋_GB2312" w:hint="eastAsia"/>
                <w:color w:val="000000"/>
                <w:kern w:val="0"/>
                <w:sz w:val="20"/>
                <w:szCs w:val="20"/>
                <w:lang/>
              </w:rPr>
              <w:t>重复申请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3.</w:t>
            </w:r>
            <w:r>
              <w:rPr>
                <w:rFonts w:ascii="仿宋_GB2312" w:hAnsi="仿宋_GB2312" w:cs="仿宋_GB2312" w:hint="eastAsia"/>
                <w:color w:val="000000"/>
                <w:kern w:val="0"/>
                <w:sz w:val="20"/>
                <w:szCs w:val="20"/>
                <w:lang/>
              </w:rPr>
              <w:t>要求提供公开出版物</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4.</w:t>
            </w:r>
            <w:r>
              <w:rPr>
                <w:rFonts w:ascii="仿宋_GB2312" w:hAnsi="仿宋_GB2312" w:cs="仿宋_GB2312" w:hint="eastAsia"/>
                <w:color w:val="000000"/>
                <w:kern w:val="0"/>
                <w:sz w:val="20"/>
                <w:szCs w:val="20"/>
                <w:lang/>
              </w:rPr>
              <w:t>无正当理由大量反复申请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trHeight w:val="586"/>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rPr>
                <w:rFonts w:ascii="仿宋_GB2312" w:hAnsi="仿宋_GB2312" w:cs="仿宋_GB2312"/>
                <w:color w:val="000000"/>
              </w:rPr>
            </w:pPr>
            <w:r>
              <w:rPr>
                <w:rFonts w:ascii="仿宋_GB2312" w:hAnsi="仿宋_GB2312" w:cs="仿宋_GB2312" w:hint="eastAsia"/>
                <w:color w:val="000000"/>
                <w:kern w:val="0"/>
                <w:sz w:val="20"/>
                <w:szCs w:val="20"/>
                <w:lang/>
              </w:rPr>
              <w:t>5.</w:t>
            </w:r>
            <w:r>
              <w:rPr>
                <w:rFonts w:ascii="仿宋_GB2312" w:hAnsi="仿宋_GB2312" w:cs="仿宋_GB2312" w:hint="eastAsia"/>
                <w:color w:val="000000"/>
                <w:kern w:val="0"/>
                <w:sz w:val="20"/>
                <w:szCs w:val="20"/>
                <w:lang/>
              </w:rPr>
              <w:t>要求行政机关确认或重新出具已获取信息</w:t>
            </w:r>
          </w:p>
        </w:tc>
        <w:tc>
          <w:tcPr>
            <w:tcW w:w="633"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single" w:sz="2"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val="restart"/>
            <w:tcBorders>
              <w:top w:val="inset" w:sz="8"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（六）其他处理</w:t>
            </w:r>
          </w:p>
        </w:tc>
        <w:tc>
          <w:tcPr>
            <w:tcW w:w="2898"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rPr>
                <w:rFonts w:ascii="仿宋_GB2312" w:hAnsi="仿宋_GB2312" w:cs="仿宋_GB2312"/>
                <w:color w:val="000000"/>
              </w:rPr>
            </w:pPr>
            <w:r>
              <w:rPr>
                <w:rFonts w:ascii="仿宋_GB2312" w:hAnsi="仿宋_GB2312" w:cs="仿宋_GB2312" w:hint="eastAsia"/>
                <w:color w:val="000000"/>
                <w:kern w:val="0"/>
                <w:sz w:val="20"/>
                <w:szCs w:val="20"/>
                <w:lang/>
              </w:rPr>
              <w:t>1.</w:t>
            </w:r>
            <w:r>
              <w:rPr>
                <w:rFonts w:ascii="仿宋_GB2312" w:hAnsi="仿宋_GB2312" w:cs="仿宋_GB2312" w:hint="eastAsia"/>
                <w:color w:val="000000"/>
                <w:kern w:val="0"/>
                <w:sz w:val="20"/>
                <w:szCs w:val="20"/>
                <w:lang/>
              </w:rPr>
              <w:t>申请人无正当理由逾期不补正、行政机关不再处理其政府信息公开申请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inset" w:sz="8"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rPr>
                <w:rFonts w:ascii="仿宋_GB2312" w:hAnsi="仿宋_GB2312" w:cs="仿宋_GB2312"/>
                <w:color w:val="000000"/>
              </w:rPr>
            </w:pPr>
            <w:r>
              <w:rPr>
                <w:rFonts w:ascii="仿宋_GB2312" w:hAnsi="仿宋_GB2312" w:cs="仿宋_GB2312" w:hint="eastAsia"/>
                <w:color w:val="000000"/>
                <w:kern w:val="0"/>
                <w:sz w:val="20"/>
                <w:szCs w:val="20"/>
                <w:lang/>
              </w:rPr>
              <w:t>2.</w:t>
            </w:r>
            <w:r>
              <w:rPr>
                <w:rFonts w:ascii="仿宋_GB2312" w:hAnsi="仿宋_GB2312" w:cs="仿宋_GB2312" w:hint="eastAsia"/>
                <w:color w:val="000000"/>
                <w:kern w:val="0"/>
                <w:sz w:val="20"/>
                <w:szCs w:val="20"/>
                <w:lang/>
              </w:rPr>
              <w:t>申请人逾期未按收费通知要求缴纳费用、行政机关不再处理其政府信息公开申请</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927" w:type="dxa"/>
            <w:vMerge/>
            <w:tcBorders>
              <w:top w:val="inset" w:sz="8" w:space="0" w:color="auto"/>
              <w:left w:val="single" w:sz="2"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2898"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3.</w:t>
            </w:r>
            <w:r>
              <w:rPr>
                <w:rFonts w:ascii="仿宋_GB2312" w:hAnsi="仿宋_GB2312" w:cs="仿宋_GB2312" w:hint="eastAsia"/>
                <w:color w:val="000000"/>
                <w:kern w:val="0"/>
                <w:sz w:val="20"/>
                <w:szCs w:val="20"/>
                <w:lang/>
              </w:rPr>
              <w:t>其他</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273" w:type="dxa"/>
            <w:vMerge/>
            <w:tcBorders>
              <w:top w:val="single" w:sz="2" w:space="0" w:color="auto"/>
              <w:left w:val="single" w:sz="8" w:space="0" w:color="auto"/>
              <w:bottom w:val="inset" w:sz="8" w:space="0" w:color="auto"/>
              <w:right w:val="single" w:sz="8" w:space="0" w:color="auto"/>
            </w:tcBorders>
            <w:shd w:val="clear" w:color="auto" w:fill="FFFFFF"/>
            <w:noWrap/>
            <w:tcMar>
              <w:left w:w="57" w:type="dxa"/>
              <w:right w:w="57" w:type="dxa"/>
            </w:tcMar>
            <w:vAlign w:val="center"/>
          </w:tcPr>
          <w:p w:rsidR="001C6B68" w:rsidRDefault="001C6B68">
            <w:pPr>
              <w:spacing w:line="560" w:lineRule="exact"/>
              <w:ind w:firstLineChars="200" w:firstLine="400"/>
              <w:rPr>
                <w:rFonts w:ascii="仿宋_GB2312" w:hAnsi="仿宋_GB2312" w:cs="仿宋_GB2312"/>
                <w:sz w:val="20"/>
                <w:szCs w:val="20"/>
              </w:rPr>
            </w:pPr>
          </w:p>
        </w:tc>
        <w:tc>
          <w:tcPr>
            <w:tcW w:w="3825" w:type="dxa"/>
            <w:gridSpan w:val="2"/>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（七）总计</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r>
      <w:tr w:rsidR="001C6B68">
        <w:trPr>
          <w:jc w:val="center"/>
        </w:trPr>
        <w:tc>
          <w:tcPr>
            <w:tcW w:w="4098" w:type="dxa"/>
            <w:gridSpan w:val="3"/>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left"/>
              <w:rPr>
                <w:rFonts w:ascii="仿宋_GB2312" w:hAnsi="仿宋_GB2312" w:cs="仿宋_GB2312"/>
                <w:color w:val="000000"/>
              </w:rPr>
            </w:pPr>
            <w:r>
              <w:rPr>
                <w:rFonts w:ascii="仿宋_GB2312" w:hAnsi="仿宋_GB2312" w:cs="仿宋_GB2312" w:hint="eastAsia"/>
                <w:color w:val="000000"/>
                <w:kern w:val="0"/>
                <w:sz w:val="20"/>
                <w:szCs w:val="20"/>
                <w:lang/>
              </w:rPr>
              <w:t>四、结转下年度继续办理</w:t>
            </w:r>
          </w:p>
        </w:tc>
        <w:tc>
          <w:tcPr>
            <w:tcW w:w="633"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widowControl/>
              <w:spacing w:line="560" w:lineRule="exact"/>
              <w:ind w:firstLineChars="200" w:firstLine="400"/>
              <w:jc w:val="center"/>
              <w:rPr>
                <w:rFonts w:ascii="仿宋_GB2312" w:hAnsi="仿宋_GB2312" w:cs="仿宋_GB2312"/>
                <w:color w:val="000000"/>
              </w:rPr>
            </w:pPr>
            <w:r>
              <w:rPr>
                <w:rFonts w:ascii="仿宋_GB2312" w:hAnsi="仿宋_GB2312" w:cs="仿宋_GB2312" w:hint="eastAsia"/>
                <w:color w:val="000000"/>
                <w:kern w:val="0"/>
                <w:sz w:val="20"/>
                <w:szCs w:val="20"/>
                <w:lang/>
              </w:rPr>
              <w:t>0</w:t>
            </w:r>
          </w:p>
        </w:tc>
        <w:tc>
          <w:tcPr>
            <w:tcW w:w="646"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1C6B68" w:rsidRDefault="00062BB6">
            <w:pPr>
              <w:spacing w:line="560" w:lineRule="exact"/>
              <w:ind w:firstLineChars="200" w:firstLine="480"/>
              <w:jc w:val="center"/>
              <w:rPr>
                <w:rFonts w:ascii="仿宋_GB2312" w:hAnsi="仿宋_GB2312" w:cs="仿宋_GB2312"/>
                <w:color w:val="000000"/>
                <w:sz w:val="24"/>
                <w:szCs w:val="24"/>
              </w:rPr>
            </w:pPr>
            <w:r>
              <w:rPr>
                <w:rFonts w:ascii="仿宋_GB2312" w:hAnsi="仿宋_GB2312" w:cs="仿宋_GB2312" w:hint="eastAsia"/>
                <w:color w:val="000000"/>
                <w:sz w:val="24"/>
                <w:szCs w:val="24"/>
                <w:lang/>
              </w:rPr>
              <w:t>0</w:t>
            </w:r>
          </w:p>
        </w:tc>
      </w:tr>
    </w:tbl>
    <w:p w:rsidR="001C6B68" w:rsidRDefault="001C6B68">
      <w:pPr>
        <w:pStyle w:val="UserStyle0"/>
        <w:spacing w:line="560" w:lineRule="exact"/>
        <w:ind w:firstLineChars="200" w:firstLine="643"/>
        <w:jc w:val="both"/>
      </w:pPr>
    </w:p>
    <w:p w:rsidR="001C6B68" w:rsidRDefault="00062BB6">
      <w:pPr>
        <w:numPr>
          <w:ilvl w:val="0"/>
          <w:numId w:val="1"/>
        </w:numPr>
        <w:spacing w:line="560" w:lineRule="exact"/>
        <w:ind w:firstLineChars="200" w:firstLine="640"/>
        <w:rPr>
          <w:rFonts w:ascii="黑体" w:eastAsia="黑体" w:hAnsi="黑体"/>
          <w:bCs/>
          <w:color w:val="333333"/>
        </w:rPr>
      </w:pPr>
      <w:r>
        <w:rPr>
          <w:rFonts w:ascii="黑体" w:eastAsia="黑体" w:hAnsi="黑体" w:hint="eastAsia"/>
          <w:bCs/>
          <w:color w:val="333333"/>
        </w:rPr>
        <w:t>因政府信息公开工作被申请行政复议、提起行政诉讼情况</w:t>
      </w:r>
    </w:p>
    <w:tbl>
      <w:tblPr>
        <w:tblW w:w="9071" w:type="dxa"/>
        <w:jc w:val="center"/>
        <w:tblLayout w:type="fixed"/>
        <w:tblCellMar>
          <w:left w:w="0" w:type="dxa"/>
          <w:right w:w="0" w:type="dxa"/>
        </w:tblCellMar>
        <w:tblLook w:val="04A0"/>
      </w:tblPr>
      <w:tblGrid>
        <w:gridCol w:w="604"/>
        <w:gridCol w:w="604"/>
        <w:gridCol w:w="604"/>
        <w:gridCol w:w="604"/>
        <w:gridCol w:w="658"/>
        <w:gridCol w:w="634"/>
        <w:gridCol w:w="521"/>
        <w:gridCol w:w="605"/>
        <w:gridCol w:w="605"/>
        <w:gridCol w:w="605"/>
        <w:gridCol w:w="605"/>
        <w:gridCol w:w="605"/>
        <w:gridCol w:w="605"/>
        <w:gridCol w:w="606"/>
        <w:gridCol w:w="606"/>
      </w:tblGrid>
      <w:tr w:rsidR="001C6B6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行政诉讼</w:t>
            </w:r>
          </w:p>
        </w:tc>
      </w:tr>
      <w:tr w:rsidR="001C6B68">
        <w:trPr>
          <w:jc w:val="center"/>
        </w:trPr>
        <w:tc>
          <w:tcPr>
            <w:tcW w:w="6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结果维持</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复议后起诉</w:t>
            </w:r>
          </w:p>
        </w:tc>
      </w:tr>
      <w:tr w:rsidR="001C6B68">
        <w:trPr>
          <w:jc w:val="center"/>
        </w:trPr>
        <w:tc>
          <w:tcPr>
            <w:tcW w:w="604" w:type="dxa"/>
            <w:vMerge/>
            <w:tcBorders>
              <w:top w:val="nil"/>
              <w:left w:val="single" w:sz="8" w:space="0" w:color="auto"/>
              <w:bottom w:val="single" w:sz="8" w:space="0" w:color="auto"/>
              <w:right w:val="single" w:sz="8" w:space="0" w:color="auto"/>
            </w:tcBorders>
            <w:vAlign w:val="center"/>
          </w:tcPr>
          <w:p w:rsidR="001C6B68" w:rsidRDefault="001C6B68">
            <w:pPr>
              <w:spacing w:line="560" w:lineRule="exact"/>
              <w:ind w:firstLineChars="200" w:firstLine="480"/>
              <w:rPr>
                <w:rFonts w:ascii="微软雅黑" w:eastAsia="微软雅黑" w:hAnsi="微软雅黑" w:cs="宋体"/>
                <w:sz w:val="24"/>
                <w:szCs w:val="24"/>
              </w:rPr>
            </w:pPr>
          </w:p>
        </w:tc>
        <w:tc>
          <w:tcPr>
            <w:tcW w:w="604" w:type="dxa"/>
            <w:vMerge/>
            <w:tcBorders>
              <w:top w:val="nil"/>
              <w:left w:val="nil"/>
              <w:bottom w:val="single" w:sz="8" w:space="0" w:color="auto"/>
              <w:right w:val="single" w:sz="8" w:space="0" w:color="auto"/>
            </w:tcBorders>
            <w:vAlign w:val="center"/>
          </w:tcPr>
          <w:p w:rsidR="001C6B68" w:rsidRDefault="001C6B68">
            <w:pPr>
              <w:spacing w:line="560" w:lineRule="exact"/>
              <w:ind w:firstLineChars="200" w:firstLine="480"/>
              <w:rPr>
                <w:rFonts w:ascii="微软雅黑" w:eastAsia="微软雅黑" w:hAnsi="微软雅黑" w:cs="宋体"/>
                <w:sz w:val="24"/>
                <w:szCs w:val="24"/>
              </w:rPr>
            </w:pPr>
          </w:p>
        </w:tc>
        <w:tc>
          <w:tcPr>
            <w:tcW w:w="604" w:type="dxa"/>
            <w:vMerge/>
            <w:tcBorders>
              <w:top w:val="single" w:sz="8" w:space="0" w:color="auto"/>
              <w:left w:val="nil"/>
              <w:bottom w:val="single" w:sz="8" w:space="0" w:color="auto"/>
              <w:right w:val="single" w:sz="8" w:space="0" w:color="auto"/>
            </w:tcBorders>
            <w:vAlign w:val="center"/>
          </w:tcPr>
          <w:p w:rsidR="001C6B68" w:rsidRDefault="001C6B68">
            <w:pPr>
              <w:spacing w:line="560" w:lineRule="exact"/>
              <w:ind w:firstLineChars="200" w:firstLine="480"/>
              <w:rPr>
                <w:rFonts w:ascii="微软雅黑" w:eastAsia="微软雅黑" w:hAnsi="微软雅黑" w:cs="宋体"/>
                <w:sz w:val="24"/>
                <w:szCs w:val="24"/>
              </w:rPr>
            </w:pPr>
          </w:p>
        </w:tc>
        <w:tc>
          <w:tcPr>
            <w:tcW w:w="604" w:type="dxa"/>
            <w:vMerge/>
            <w:tcBorders>
              <w:top w:val="single" w:sz="8" w:space="0" w:color="auto"/>
              <w:left w:val="nil"/>
              <w:bottom w:val="single" w:sz="8" w:space="0" w:color="auto"/>
              <w:right w:val="single" w:sz="8" w:space="0" w:color="auto"/>
            </w:tcBorders>
            <w:vAlign w:val="center"/>
          </w:tcPr>
          <w:p w:rsidR="001C6B68" w:rsidRDefault="001C6B68">
            <w:pPr>
              <w:spacing w:line="560" w:lineRule="exact"/>
              <w:ind w:firstLineChars="200" w:firstLine="480"/>
              <w:rPr>
                <w:rFonts w:ascii="微软雅黑" w:eastAsia="微软雅黑" w:hAnsi="微软雅黑" w:cs="宋体"/>
                <w:sz w:val="24"/>
                <w:szCs w:val="24"/>
              </w:rPr>
            </w:pPr>
          </w:p>
        </w:tc>
        <w:tc>
          <w:tcPr>
            <w:tcW w:w="658" w:type="dxa"/>
            <w:vMerge/>
            <w:tcBorders>
              <w:top w:val="single" w:sz="8" w:space="0" w:color="auto"/>
              <w:left w:val="nil"/>
              <w:bottom w:val="single" w:sz="8" w:space="0" w:color="auto"/>
              <w:right w:val="single" w:sz="8" w:space="0" w:color="auto"/>
            </w:tcBorders>
            <w:vAlign w:val="center"/>
          </w:tcPr>
          <w:p w:rsidR="001C6B68" w:rsidRDefault="001C6B68">
            <w:pPr>
              <w:spacing w:line="560" w:lineRule="exact"/>
              <w:ind w:firstLineChars="200" w:firstLine="480"/>
              <w:rPr>
                <w:rFonts w:ascii="微软雅黑" w:eastAsia="微软雅黑" w:hAnsi="微软雅黑" w:cs="宋体"/>
                <w:sz w:val="24"/>
                <w:szCs w:val="24"/>
              </w:rPr>
            </w:pP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结果维持</w:t>
            </w:r>
          </w:p>
        </w:tc>
        <w:tc>
          <w:tcPr>
            <w:tcW w:w="5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结果纠</w:t>
            </w:r>
            <w:r>
              <w:rPr>
                <w:rFonts w:hint="eastAsia"/>
                <w:sz w:val="20"/>
                <w:szCs w:val="20"/>
              </w:rPr>
              <w:lastRenderedPageBreak/>
              <w:t>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其他结</w:t>
            </w:r>
            <w:r>
              <w:rPr>
                <w:rFonts w:hint="eastAsia"/>
                <w:sz w:val="20"/>
                <w:szCs w:val="20"/>
              </w:rPr>
              <w:lastRenderedPageBreak/>
              <w:t>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尚未审</w:t>
            </w:r>
            <w:r>
              <w:rPr>
                <w:rFonts w:hint="eastAsia"/>
                <w:sz w:val="20"/>
                <w:szCs w:val="20"/>
              </w:rPr>
              <w:lastRenderedPageBreak/>
              <w:t>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结果维</w:t>
            </w:r>
            <w:r>
              <w:rPr>
                <w:rFonts w:hint="eastAsia"/>
                <w:sz w:val="20"/>
                <w:szCs w:val="20"/>
              </w:rPr>
              <w:lastRenderedPageBreak/>
              <w:t>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结果纠</w:t>
            </w:r>
            <w:r>
              <w:rPr>
                <w:rFonts w:hint="eastAsia"/>
                <w:sz w:val="20"/>
                <w:szCs w:val="20"/>
              </w:rPr>
              <w:lastRenderedPageBreak/>
              <w:t>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其他结</w:t>
            </w:r>
            <w:r>
              <w:rPr>
                <w:rFonts w:hint="eastAsia"/>
                <w:sz w:val="20"/>
                <w:szCs w:val="20"/>
              </w:rPr>
              <w:lastRenderedPageBreak/>
              <w:t>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尚未审</w:t>
            </w:r>
            <w:r>
              <w:rPr>
                <w:rFonts w:hint="eastAsia"/>
                <w:sz w:val="20"/>
                <w:szCs w:val="20"/>
              </w:rPr>
              <w:lastRenderedPageBreak/>
              <w:t>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lastRenderedPageBreak/>
              <w:t>总计</w:t>
            </w:r>
          </w:p>
        </w:tc>
      </w:tr>
      <w:tr w:rsidR="001C6B68">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eastAsia="微软雅黑"/>
                <w:sz w:val="20"/>
                <w:szCs w:val="20"/>
              </w:rPr>
              <w:lastRenderedPageBreak/>
              <w:t> </w:t>
            </w:r>
            <w:r>
              <w:rPr>
                <w:rFonts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eastAsia="微软雅黑"/>
                <w:sz w:val="20"/>
                <w:szCs w:val="20"/>
              </w:rPr>
              <w:t> </w:t>
            </w:r>
            <w:r>
              <w:rPr>
                <w:rFonts w:hint="eastAsia"/>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0</w:t>
            </w:r>
            <w:r>
              <w:rPr>
                <w:rFonts w:eastAsia="微软雅黑"/>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eastAsia="微软雅黑"/>
                <w:sz w:val="20"/>
                <w:szCs w:val="20"/>
              </w:rPr>
              <w:t> </w:t>
            </w:r>
            <w:r>
              <w:rPr>
                <w:rFonts w:hint="eastAsia"/>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eastAsia="微软雅黑"/>
                <w:sz w:val="20"/>
                <w:szCs w:val="20"/>
              </w:rPr>
              <w:t> </w:t>
            </w:r>
            <w:r>
              <w:rPr>
                <w:rFonts w:hint="eastAsia"/>
                <w:sz w:val="20"/>
                <w:szCs w:val="20"/>
              </w:rPr>
              <w:t>0</w:t>
            </w:r>
          </w:p>
        </w:tc>
        <w:tc>
          <w:tcPr>
            <w:tcW w:w="634"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MS Mincho" w:eastAsia="MS Mincho" w:hAnsi="MS Mincho" w:cs="MS Mincho" w:hint="eastAsia"/>
                <w:sz w:val="20"/>
                <w:szCs w:val="20"/>
              </w:rPr>
              <w:t> </w:t>
            </w:r>
            <w:r>
              <w:rPr>
                <w:rFonts w:hint="eastAsia"/>
                <w:sz w:val="20"/>
                <w:szCs w:val="20"/>
              </w:rPr>
              <w:t>0</w:t>
            </w:r>
          </w:p>
        </w:tc>
        <w:tc>
          <w:tcPr>
            <w:tcW w:w="521"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MS Mincho" w:eastAsia="MS Mincho" w:hAnsi="MS Mincho" w:cs="MS Mincho" w:hint="eastAsia"/>
                <w:sz w:val="20"/>
                <w:szCs w:val="20"/>
              </w:rPr>
              <w:t> </w:t>
            </w:r>
            <w:r>
              <w:rPr>
                <w:rFonts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MS Mincho" w:eastAsia="MS Mincho" w:hAnsi="MS Mincho" w:cs="MS Mincho" w:hint="eastAsia"/>
                <w:sz w:val="20"/>
                <w:szCs w:val="20"/>
              </w:rPr>
              <w:t> </w:t>
            </w:r>
            <w:r>
              <w:rPr>
                <w:rFonts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Theme="minorEastAsia" w:eastAsiaTheme="minorEastAsia" w:hAnsiTheme="minorEastAsia" w:cs="MS Mincho"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MS Mincho" w:eastAsia="MS Mincho" w:hAnsi="MS Mincho" w:cs="MS Mincho" w:hint="eastAsia"/>
                <w:sz w:val="20"/>
                <w:szCs w:val="20"/>
              </w:rPr>
              <w:t> </w:t>
            </w:r>
            <w:r>
              <w:rPr>
                <w:rFonts w:hint="eastAsia"/>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0</w:t>
            </w:r>
            <w:r>
              <w:rPr>
                <w:rFonts w:ascii="MS Mincho" w:eastAsia="MS Mincho" w:hAnsi="MS Mincho" w:cs="MS Mincho" w:hint="eastAsia"/>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0</w:t>
            </w:r>
            <w:r>
              <w:rPr>
                <w:rFonts w:ascii="MS Mincho" w:eastAsia="MS Mincho" w:hAnsi="MS Mincho" w:cs="MS Mincho" w:hint="eastAsia"/>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ascii="MS Mincho" w:eastAsia="MS Mincho" w:hAnsi="MS Mincho" w:cs="MS Mincho" w:hint="eastAsia"/>
                <w:sz w:val="20"/>
                <w:szCs w:val="20"/>
              </w:rPr>
              <w:t> </w:t>
            </w:r>
            <w:r>
              <w:rPr>
                <w:rFonts w:hint="eastAsia"/>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jc w:val="center"/>
              <w:rPr>
                <w:rFonts w:ascii="微软雅黑" w:eastAsia="微软雅黑" w:hAnsi="微软雅黑"/>
              </w:rPr>
            </w:pPr>
            <w:r>
              <w:rPr>
                <w:rFonts w:hint="eastAsia"/>
                <w:sz w:val="20"/>
                <w:szCs w:val="20"/>
              </w:rPr>
              <w:t>0</w:t>
            </w:r>
            <w:r>
              <w:rPr>
                <w:rFonts w:ascii="MS Mincho" w:eastAsia="MS Mincho" w:hAnsi="MS Mincho" w:cs="MS Mincho" w:hint="eastAsia"/>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C6B68" w:rsidRDefault="00062BB6">
            <w:pPr>
              <w:spacing w:line="560" w:lineRule="exact"/>
              <w:ind w:firstLineChars="200" w:firstLine="400"/>
              <w:rPr>
                <w:rFonts w:ascii="微软雅黑" w:eastAsia="微软雅黑" w:hAnsi="微软雅黑"/>
              </w:rPr>
            </w:pPr>
            <w:r>
              <w:rPr>
                <w:rFonts w:hint="eastAsia"/>
                <w:sz w:val="20"/>
                <w:szCs w:val="20"/>
              </w:rPr>
              <w:t>0</w:t>
            </w:r>
          </w:p>
        </w:tc>
      </w:tr>
    </w:tbl>
    <w:p w:rsidR="001C6B68" w:rsidRDefault="001C6B68">
      <w:pPr>
        <w:pStyle w:val="UserStyle0"/>
        <w:spacing w:line="560" w:lineRule="exact"/>
        <w:ind w:firstLineChars="200" w:firstLine="643"/>
        <w:jc w:val="both"/>
      </w:pPr>
    </w:p>
    <w:p w:rsidR="001C6B68" w:rsidRDefault="00062BB6">
      <w:pPr>
        <w:pStyle w:val="1"/>
        <w:numPr>
          <w:ilvl w:val="0"/>
          <w:numId w:val="1"/>
        </w:numPr>
        <w:spacing w:line="560" w:lineRule="exact"/>
        <w:ind w:firstLine="640"/>
        <w:rPr>
          <w:rFonts w:ascii="黑体" w:eastAsia="黑体" w:hAnsi="黑体"/>
          <w:bCs/>
          <w:color w:val="333333"/>
        </w:rPr>
      </w:pPr>
      <w:r>
        <w:rPr>
          <w:rFonts w:ascii="黑体" w:eastAsia="黑体" w:hAnsi="黑体" w:hint="eastAsia"/>
          <w:bCs/>
          <w:color w:val="333333"/>
        </w:rPr>
        <w:t>政府信息公开工作存在的主要问题及改进情况</w:t>
      </w:r>
    </w:p>
    <w:p w:rsidR="001C6B68" w:rsidRDefault="00062BB6">
      <w:pPr>
        <w:pStyle w:val="1"/>
        <w:spacing w:line="560" w:lineRule="exact"/>
        <w:ind w:firstLine="643"/>
        <w:rPr>
          <w:rFonts w:ascii="仿宋_GB2312" w:eastAsia="仿宋_GB2312" w:hAnsi="宋体" w:cs="宋体"/>
        </w:rPr>
      </w:pPr>
      <w:r>
        <w:rPr>
          <w:rFonts w:ascii="仿宋_GB2312" w:eastAsia="仿宋_GB2312" w:hAnsi="宋体" w:cs="宋体" w:hint="eastAsia"/>
          <w:b/>
        </w:rPr>
        <w:t>一</w:t>
      </w:r>
      <w:r>
        <w:rPr>
          <w:rFonts w:ascii="仿宋_GB2312" w:eastAsia="仿宋_GB2312" w:hAnsi="宋体" w:cs="宋体" w:hint="eastAsia"/>
          <w:b/>
        </w:rPr>
        <w:t>是</w:t>
      </w:r>
      <w:r>
        <w:rPr>
          <w:rFonts w:ascii="仿宋_GB2312" w:eastAsia="仿宋_GB2312" w:hAnsi="宋体" w:cs="宋体" w:hint="eastAsia"/>
        </w:rPr>
        <w:t>公开渠道还需多元化</w:t>
      </w:r>
      <w:r>
        <w:rPr>
          <w:rFonts w:ascii="仿宋_GB2312" w:eastAsia="仿宋_GB2312" w:hAnsi="宋体" w:cs="宋体" w:hint="eastAsia"/>
        </w:rPr>
        <w:t>。</w:t>
      </w:r>
      <w:r>
        <w:rPr>
          <w:rFonts w:ascii="仿宋_GB2312" w:eastAsia="仿宋_GB2312" w:hAnsi="宋体" w:cs="宋体" w:hint="eastAsia"/>
          <w:b/>
        </w:rPr>
        <w:t>二</w:t>
      </w:r>
      <w:r>
        <w:rPr>
          <w:rFonts w:ascii="仿宋_GB2312" w:eastAsia="仿宋_GB2312" w:hAnsi="宋体" w:cs="宋体" w:hint="eastAsia"/>
          <w:b/>
        </w:rPr>
        <w:t>是</w:t>
      </w:r>
      <w:r>
        <w:rPr>
          <w:rFonts w:ascii="仿宋_GB2312" w:eastAsia="仿宋_GB2312" w:hAnsi="宋体" w:cs="宋体" w:hint="eastAsia"/>
          <w:bCs/>
        </w:rPr>
        <w:t>公开理念还需强化</w:t>
      </w:r>
      <w:r>
        <w:rPr>
          <w:rFonts w:ascii="仿宋_GB2312" w:eastAsia="仿宋_GB2312" w:hAnsi="宋体" w:cs="宋体" w:hint="eastAsia"/>
        </w:rPr>
        <w:t>。</w:t>
      </w:r>
    </w:p>
    <w:p w:rsidR="001C6B68" w:rsidRDefault="00062BB6">
      <w:pPr>
        <w:pStyle w:val="1"/>
        <w:spacing w:line="560" w:lineRule="exact"/>
        <w:ind w:firstLine="640"/>
        <w:rPr>
          <w:rFonts w:ascii="仿宋_GB2312" w:eastAsia="仿宋_GB2312" w:hAnsi="仿宋_GB2312" w:cs="仿宋_GB2312"/>
          <w:bCs/>
          <w:color w:val="333333"/>
        </w:rPr>
      </w:pPr>
      <w:r>
        <w:rPr>
          <w:rFonts w:ascii="仿宋_GB2312" w:eastAsia="仿宋_GB2312" w:hAnsi="宋体" w:cs="宋体"/>
        </w:rPr>
        <w:t>对照上述问题</w:t>
      </w:r>
      <w:r>
        <w:rPr>
          <w:rFonts w:ascii="仿宋_GB2312" w:eastAsia="仿宋_GB2312" w:hAnsi="宋体" w:cs="宋体"/>
        </w:rPr>
        <w:t>,202</w:t>
      </w:r>
      <w:r>
        <w:rPr>
          <w:rFonts w:ascii="仿宋_GB2312" w:eastAsia="仿宋_GB2312" w:hAnsi="宋体" w:cs="宋体" w:hint="eastAsia"/>
        </w:rPr>
        <w:t>4</w:t>
      </w:r>
      <w:r>
        <w:rPr>
          <w:rFonts w:ascii="仿宋_GB2312" w:eastAsia="仿宋_GB2312" w:hAnsi="宋体" w:cs="宋体"/>
        </w:rPr>
        <w:t>年</w:t>
      </w:r>
      <w:r>
        <w:rPr>
          <w:rFonts w:ascii="仿宋_GB2312" w:eastAsia="仿宋_GB2312" w:hAnsi="宋体" w:cs="宋体" w:hint="eastAsia"/>
        </w:rPr>
        <w:t>我</w:t>
      </w:r>
      <w:r>
        <w:rPr>
          <w:rFonts w:ascii="仿宋_GB2312" w:eastAsia="仿宋_GB2312" w:hAnsi="宋体" w:cs="宋体" w:hint="eastAsia"/>
        </w:rPr>
        <w:t>局</w:t>
      </w:r>
      <w:r>
        <w:rPr>
          <w:rFonts w:ascii="仿宋_GB2312" w:eastAsia="仿宋_GB2312" w:hAnsi="宋体" w:cs="宋体"/>
        </w:rPr>
        <w:t>将从以下</w:t>
      </w:r>
      <w:r>
        <w:rPr>
          <w:rFonts w:ascii="仿宋_GB2312" w:eastAsia="仿宋_GB2312" w:hAnsi="宋体" w:cs="宋体" w:hint="eastAsia"/>
        </w:rPr>
        <w:t>几个</w:t>
      </w:r>
      <w:r>
        <w:rPr>
          <w:rFonts w:ascii="仿宋_GB2312" w:eastAsia="仿宋_GB2312" w:hAnsi="宋体" w:cs="宋体"/>
        </w:rPr>
        <w:t>方面进一步开展政务公开工作</w:t>
      </w:r>
      <w:r>
        <w:rPr>
          <w:rFonts w:ascii="仿宋_GB2312" w:eastAsia="仿宋_GB2312" w:hAnsi="宋体" w:cs="宋体" w:hint="eastAsia"/>
        </w:rPr>
        <w:t>：</w:t>
      </w:r>
      <w:r>
        <w:rPr>
          <w:rFonts w:ascii="仿宋_GB2312" w:eastAsia="仿宋_GB2312" w:hAnsi="仿宋_GB2312" w:cs="仿宋_GB2312" w:hint="eastAsia"/>
          <w:b/>
          <w:color w:val="333333"/>
        </w:rPr>
        <w:t>一是</w:t>
      </w:r>
      <w:r>
        <w:rPr>
          <w:rFonts w:ascii="仿宋_GB2312" w:eastAsia="仿宋_GB2312" w:hAnsi="仿宋_GB2312" w:cs="仿宋_GB2312" w:hint="eastAsia"/>
          <w:bCs/>
          <w:color w:val="333333"/>
        </w:rPr>
        <w:t>畅通公开渠道。按照公开、透明、便民的原则，主动把优化纳税服务与政府信息公开工作相结合，充分利用赤水市政府信息公开门户网站，办税服务厅电子显示屏等渠道及时公开社会各界广泛关注、涉及广大人民群众切身利益的税收政策和税务工作动态。</w:t>
      </w:r>
      <w:r>
        <w:rPr>
          <w:rFonts w:ascii="仿宋_GB2312" w:eastAsia="仿宋_GB2312" w:hAnsi="仿宋_GB2312" w:cs="仿宋_GB2312" w:hint="eastAsia"/>
          <w:b/>
          <w:color w:val="333333"/>
        </w:rPr>
        <w:t>二是</w:t>
      </w:r>
      <w:r>
        <w:rPr>
          <w:rFonts w:ascii="仿宋_GB2312" w:eastAsia="仿宋_GB2312" w:hAnsi="仿宋_GB2312" w:cs="仿宋_GB2312" w:hint="eastAsia"/>
          <w:bCs/>
          <w:color w:val="333333"/>
        </w:rPr>
        <w:t>开展业务培训。赤水市税务局加大对政务公开人员的培训力度，制定年度培训计划。政务公开人员加强政策理论学习和业务研究，准确把握政策要义，增强专业素养，强化公开理念，提高指导、推动政务公开工作的能力和水平。</w:t>
      </w:r>
    </w:p>
    <w:p w:rsidR="001C6B68" w:rsidRDefault="00062BB6">
      <w:pPr>
        <w:pStyle w:val="1"/>
        <w:spacing w:line="560" w:lineRule="exact"/>
        <w:ind w:firstLine="640"/>
        <w:rPr>
          <w:rFonts w:ascii="黑体" w:eastAsia="黑体" w:hAnsi="黑体"/>
          <w:bCs/>
          <w:color w:val="333333"/>
        </w:rPr>
      </w:pPr>
      <w:r>
        <w:rPr>
          <w:rFonts w:ascii="黑体" w:eastAsia="黑体" w:hAnsi="黑体" w:hint="eastAsia"/>
          <w:bCs/>
          <w:color w:val="333333"/>
        </w:rPr>
        <w:t>六、其他需要报告的事项</w:t>
      </w:r>
    </w:p>
    <w:p w:rsidR="001C6B68" w:rsidRDefault="00062BB6">
      <w:pPr>
        <w:spacing w:line="560" w:lineRule="exact"/>
        <w:ind w:firstLineChars="200" w:firstLine="640"/>
        <w:rPr>
          <w:rFonts w:ascii="仿宋_GB2312"/>
        </w:rPr>
      </w:pPr>
      <w:r>
        <w:rPr>
          <w:rFonts w:ascii="仿宋_GB2312" w:hint="eastAsia"/>
        </w:rPr>
        <w:t>202</w:t>
      </w:r>
      <w:r>
        <w:rPr>
          <w:rFonts w:ascii="仿宋_GB2312" w:hint="eastAsia"/>
        </w:rPr>
        <w:t>3</w:t>
      </w:r>
      <w:r>
        <w:rPr>
          <w:rFonts w:ascii="仿宋_GB2312" w:hint="eastAsia"/>
        </w:rPr>
        <w:t>年度重点工作任务均按要求推进和抓好落实。</w:t>
      </w:r>
    </w:p>
    <w:p w:rsidR="001C6B68" w:rsidRDefault="00062BB6">
      <w:pPr>
        <w:spacing w:line="560" w:lineRule="exact"/>
        <w:ind w:firstLineChars="200" w:firstLine="640"/>
        <w:rPr>
          <w:rFonts w:ascii="仿宋_GB2312"/>
        </w:rPr>
      </w:pPr>
      <w:r>
        <w:rPr>
          <w:rFonts w:ascii="仿宋_GB2312" w:hint="eastAsia"/>
        </w:rPr>
        <w:t>本报告中相关统计数据为国家税务总局赤水市税务局数据。</w:t>
      </w:r>
    </w:p>
    <w:p w:rsidR="001C6B68" w:rsidRDefault="00062BB6">
      <w:pPr>
        <w:spacing w:line="560" w:lineRule="exact"/>
        <w:ind w:firstLineChars="200" w:firstLine="640"/>
        <w:jc w:val="left"/>
        <w:rPr>
          <w:rFonts w:ascii="仿宋_GB2312"/>
        </w:rPr>
      </w:pPr>
      <w:r>
        <w:rPr>
          <w:rFonts w:ascii="仿宋_GB2312" w:hint="eastAsia"/>
        </w:rPr>
        <w:t>国家税务总局贵州省税务局网站网址为：</w:t>
      </w:r>
      <w:hyperlink r:id="rId8" w:history="1">
        <w:r>
          <w:rPr>
            <w:rStyle w:val="a5"/>
            <w:rFonts w:ascii="仿宋_GB2312" w:hint="eastAsia"/>
            <w:color w:val="auto"/>
            <w:u w:val="none"/>
          </w:rPr>
          <w:t>http://guizhou.chinatax.gov.cn/</w:t>
        </w:r>
      </w:hyperlink>
      <w:r>
        <w:rPr>
          <w:rFonts w:ascii="仿宋_GB2312" w:hint="eastAsia"/>
        </w:rPr>
        <w:t>，如需查阅本报告电子版，请登录查询。接受社会监督。</w:t>
      </w:r>
    </w:p>
    <w:p w:rsidR="001C6B68" w:rsidRDefault="001C6B68">
      <w:pPr>
        <w:spacing w:line="560" w:lineRule="exact"/>
        <w:ind w:firstLineChars="200" w:firstLine="640"/>
        <w:rPr>
          <w:rFonts w:ascii="黑体" w:eastAsia="黑体" w:hAnsi="黑体"/>
          <w:bCs/>
          <w:color w:val="333333"/>
        </w:rPr>
      </w:pPr>
    </w:p>
    <w:p w:rsidR="001C6B68" w:rsidRDefault="001C6B68">
      <w:pPr>
        <w:spacing w:line="560" w:lineRule="exact"/>
        <w:ind w:firstLineChars="200" w:firstLine="640"/>
        <w:rPr>
          <w:rFonts w:ascii="黑体" w:eastAsia="黑体" w:hAnsi="黑体" w:cs="宋体"/>
        </w:rPr>
      </w:pPr>
    </w:p>
    <w:p w:rsidR="001C6B68" w:rsidRDefault="001C6B68">
      <w:pPr>
        <w:spacing w:line="560" w:lineRule="exact"/>
        <w:ind w:firstLineChars="200" w:firstLine="640"/>
      </w:pPr>
    </w:p>
    <w:p w:rsidR="001C6B68" w:rsidRDefault="001C6B68">
      <w:pPr>
        <w:spacing w:line="560" w:lineRule="exact"/>
        <w:ind w:firstLineChars="200" w:firstLine="640"/>
      </w:pPr>
    </w:p>
    <w:sectPr w:rsidR="001C6B68" w:rsidSect="001C6B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B6" w:rsidRDefault="00062BB6" w:rsidP="00A90F5F">
      <w:r>
        <w:separator/>
      </w:r>
    </w:p>
  </w:endnote>
  <w:endnote w:type="continuationSeparator" w:id="1">
    <w:p w:rsidR="00062BB6" w:rsidRDefault="00062BB6" w:rsidP="00A90F5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B6" w:rsidRDefault="00062BB6" w:rsidP="00A90F5F">
      <w:r>
        <w:separator/>
      </w:r>
    </w:p>
  </w:footnote>
  <w:footnote w:type="continuationSeparator" w:id="1">
    <w:p w:rsidR="00062BB6" w:rsidRDefault="00062BB6" w:rsidP="00A90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5119"/>
    <w:multiLevelType w:val="singleLevel"/>
    <w:tmpl w:val="29225119"/>
    <w:lvl w:ilvl="0">
      <w:start w:val="2"/>
      <w:numFmt w:val="chineseCounting"/>
      <w:suff w:val="nothing"/>
      <w:lvlText w:val="%1、"/>
      <w:lvlJc w:val="left"/>
      <w:rPr>
        <w:rFonts w:ascii="黑体" w:eastAsia="黑体" w:hAnsi="黑体" w:cs="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A40ECA"/>
    <w:rsid w:val="00062BB6"/>
    <w:rsid w:val="001C6B68"/>
    <w:rsid w:val="00A90F5F"/>
    <w:rsid w:val="017D64FD"/>
    <w:rsid w:val="03347938"/>
    <w:rsid w:val="046766AE"/>
    <w:rsid w:val="0492701C"/>
    <w:rsid w:val="054C0C4B"/>
    <w:rsid w:val="06E40EAF"/>
    <w:rsid w:val="08DC3D29"/>
    <w:rsid w:val="09734791"/>
    <w:rsid w:val="0A1D352C"/>
    <w:rsid w:val="0AA42740"/>
    <w:rsid w:val="0CC760F9"/>
    <w:rsid w:val="0E486106"/>
    <w:rsid w:val="127E1BE1"/>
    <w:rsid w:val="13A21FEB"/>
    <w:rsid w:val="163D0D5F"/>
    <w:rsid w:val="166856A8"/>
    <w:rsid w:val="17306F5F"/>
    <w:rsid w:val="1E7951B2"/>
    <w:rsid w:val="1EA42827"/>
    <w:rsid w:val="1ED3515D"/>
    <w:rsid w:val="205C5F95"/>
    <w:rsid w:val="207C31D7"/>
    <w:rsid w:val="212D4428"/>
    <w:rsid w:val="21321C4B"/>
    <w:rsid w:val="22F04D0A"/>
    <w:rsid w:val="240F0F95"/>
    <w:rsid w:val="256A5930"/>
    <w:rsid w:val="27397604"/>
    <w:rsid w:val="29652AB6"/>
    <w:rsid w:val="2C0C01D4"/>
    <w:rsid w:val="2D760267"/>
    <w:rsid w:val="2F6C76EA"/>
    <w:rsid w:val="2F771E3B"/>
    <w:rsid w:val="319C4445"/>
    <w:rsid w:val="31FD0A66"/>
    <w:rsid w:val="336433B3"/>
    <w:rsid w:val="33CC1A15"/>
    <w:rsid w:val="33F6177F"/>
    <w:rsid w:val="36491706"/>
    <w:rsid w:val="36F071DB"/>
    <w:rsid w:val="386D6F7C"/>
    <w:rsid w:val="3B8B545C"/>
    <w:rsid w:val="3C8B02AC"/>
    <w:rsid w:val="3CA02347"/>
    <w:rsid w:val="3DE96170"/>
    <w:rsid w:val="406B17C3"/>
    <w:rsid w:val="41C51F72"/>
    <w:rsid w:val="43825F98"/>
    <w:rsid w:val="44092C23"/>
    <w:rsid w:val="443B6F4F"/>
    <w:rsid w:val="44C22089"/>
    <w:rsid w:val="45363435"/>
    <w:rsid w:val="453701CA"/>
    <w:rsid w:val="47114BD7"/>
    <w:rsid w:val="47A37BC0"/>
    <w:rsid w:val="482D6EE9"/>
    <w:rsid w:val="49E1341C"/>
    <w:rsid w:val="4A490988"/>
    <w:rsid w:val="4AA134F7"/>
    <w:rsid w:val="4AFB7B15"/>
    <w:rsid w:val="4C331F9C"/>
    <w:rsid w:val="4C3C2C70"/>
    <w:rsid w:val="4D2C31DD"/>
    <w:rsid w:val="4D420DBD"/>
    <w:rsid w:val="4D52039A"/>
    <w:rsid w:val="4D8129FE"/>
    <w:rsid w:val="4DCD0B93"/>
    <w:rsid w:val="4E5D5C85"/>
    <w:rsid w:val="4EFC15A3"/>
    <w:rsid w:val="4FA40ECA"/>
    <w:rsid w:val="51020FB4"/>
    <w:rsid w:val="51E828C3"/>
    <w:rsid w:val="54094BD7"/>
    <w:rsid w:val="553C5165"/>
    <w:rsid w:val="55595039"/>
    <w:rsid w:val="55B8409E"/>
    <w:rsid w:val="57BD69E0"/>
    <w:rsid w:val="58BB4A0D"/>
    <w:rsid w:val="591C68B2"/>
    <w:rsid w:val="5AC009B6"/>
    <w:rsid w:val="5E770FBD"/>
    <w:rsid w:val="5EBE73FF"/>
    <w:rsid w:val="5ECC59F8"/>
    <w:rsid w:val="5EFD19E1"/>
    <w:rsid w:val="5F6826EF"/>
    <w:rsid w:val="5FFE6A17"/>
    <w:rsid w:val="608F7702"/>
    <w:rsid w:val="61024E63"/>
    <w:rsid w:val="618911D7"/>
    <w:rsid w:val="62CE6A6C"/>
    <w:rsid w:val="63274118"/>
    <w:rsid w:val="65900EAF"/>
    <w:rsid w:val="67272768"/>
    <w:rsid w:val="676D1A07"/>
    <w:rsid w:val="68067890"/>
    <w:rsid w:val="6C637FD0"/>
    <w:rsid w:val="6C913AC3"/>
    <w:rsid w:val="6DCB7464"/>
    <w:rsid w:val="6F497B0C"/>
    <w:rsid w:val="6F8A580B"/>
    <w:rsid w:val="6FC476A0"/>
    <w:rsid w:val="72BD4BC1"/>
    <w:rsid w:val="73FB32A3"/>
    <w:rsid w:val="74210433"/>
    <w:rsid w:val="74C03935"/>
    <w:rsid w:val="74FB0B0A"/>
    <w:rsid w:val="75F46C27"/>
    <w:rsid w:val="77AB15AF"/>
    <w:rsid w:val="79FF1ED2"/>
    <w:rsid w:val="7A524568"/>
    <w:rsid w:val="7E434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6B68"/>
    <w:pPr>
      <w:widowControl w:val="0"/>
      <w:jc w:val="both"/>
    </w:pPr>
    <w:rPr>
      <w:rFonts w:ascii="Calibri" w:eastAsia="仿宋_GB2312" w:hAnsi="Calibri" w:cs="Times New Roman"/>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C6B68"/>
    <w:rPr>
      <w:rFonts w:ascii="Times New Roman" w:eastAsia="宋体" w:hAnsi="Times New Roman"/>
      <w:sz w:val="21"/>
      <w:szCs w:val="24"/>
    </w:rPr>
  </w:style>
  <w:style w:type="paragraph" w:styleId="a4">
    <w:name w:val="Normal (Web)"/>
    <w:basedOn w:val="a"/>
    <w:qFormat/>
    <w:rsid w:val="001C6B68"/>
    <w:pPr>
      <w:spacing w:before="100" w:beforeAutospacing="1" w:after="100" w:afterAutospacing="1"/>
      <w:jc w:val="left"/>
    </w:pPr>
    <w:rPr>
      <w:rFonts w:ascii="Times New Roman" w:eastAsia="宋体" w:hAnsi="Times New Roman"/>
      <w:kern w:val="0"/>
      <w:sz w:val="24"/>
      <w:szCs w:val="24"/>
    </w:rPr>
  </w:style>
  <w:style w:type="character" w:styleId="a5">
    <w:name w:val="Hyperlink"/>
    <w:basedOn w:val="a1"/>
    <w:uiPriority w:val="99"/>
    <w:unhideWhenUsed/>
    <w:qFormat/>
    <w:rsid w:val="001C6B68"/>
    <w:rPr>
      <w:color w:val="0563C1" w:themeColor="hyperlink"/>
      <w:u w:val="single"/>
    </w:rPr>
  </w:style>
  <w:style w:type="paragraph" w:customStyle="1" w:styleId="UserStyle0">
    <w:name w:val="UserStyle_0"/>
    <w:basedOn w:val="a"/>
    <w:qFormat/>
    <w:rsid w:val="001C6B68"/>
    <w:pPr>
      <w:jc w:val="center"/>
    </w:pPr>
    <w:rPr>
      <w:rFonts w:ascii="Arial" w:eastAsia="宋体" w:hAnsi="Arial" w:cs="Arial"/>
      <w:b/>
      <w:bCs/>
      <w:szCs w:val="32"/>
    </w:rPr>
  </w:style>
  <w:style w:type="character" w:customStyle="1" w:styleId="dhgao">
    <w:name w:val="dhgao"/>
    <w:basedOn w:val="a1"/>
    <w:qFormat/>
    <w:rsid w:val="001C6B68"/>
  </w:style>
  <w:style w:type="paragraph" w:customStyle="1" w:styleId="1">
    <w:name w:val="列表段落1"/>
    <w:basedOn w:val="a"/>
    <w:uiPriority w:val="34"/>
    <w:qFormat/>
    <w:rsid w:val="001C6B68"/>
    <w:pPr>
      <w:ind w:firstLineChars="200" w:firstLine="420"/>
    </w:pPr>
    <w:rPr>
      <w:rFonts w:eastAsia="宋体"/>
    </w:rPr>
  </w:style>
  <w:style w:type="paragraph" w:styleId="a6">
    <w:name w:val="header"/>
    <w:basedOn w:val="a"/>
    <w:link w:val="Char"/>
    <w:rsid w:val="00A90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A90F5F"/>
    <w:rPr>
      <w:rFonts w:ascii="Calibri" w:eastAsia="仿宋_GB2312" w:hAnsi="Calibri" w:cs="Times New Roman"/>
      <w:kern w:val="2"/>
      <w:sz w:val="18"/>
      <w:szCs w:val="18"/>
    </w:rPr>
  </w:style>
  <w:style w:type="paragraph" w:styleId="a7">
    <w:name w:val="footer"/>
    <w:basedOn w:val="a"/>
    <w:link w:val="Char0"/>
    <w:qFormat/>
    <w:rsid w:val="00A90F5F"/>
    <w:pPr>
      <w:tabs>
        <w:tab w:val="center" w:pos="4153"/>
        <w:tab w:val="right" w:pos="8306"/>
      </w:tabs>
      <w:snapToGrid w:val="0"/>
      <w:jc w:val="left"/>
    </w:pPr>
    <w:rPr>
      <w:sz w:val="18"/>
      <w:szCs w:val="18"/>
    </w:rPr>
  </w:style>
  <w:style w:type="character" w:customStyle="1" w:styleId="Char0">
    <w:name w:val="页脚 Char"/>
    <w:basedOn w:val="a1"/>
    <w:link w:val="a7"/>
    <w:rsid w:val="00A90F5F"/>
    <w:rPr>
      <w:rFonts w:ascii="Calibri" w:eastAsia="仿宋_GB2312"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uizhou.chinatax.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443</Words>
  <Characters>2526</Characters>
  <Application>Microsoft Office Word</Application>
  <DocSecurity>0</DocSecurity>
  <Lines>21</Lines>
  <Paragraphs>5</Paragraphs>
  <ScaleCrop>false</ScaleCrop>
  <Company>pc</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喻霄</dc:creator>
  <cp:lastModifiedBy>陈剑锋</cp:lastModifiedBy>
  <cp:revision>2</cp:revision>
  <dcterms:created xsi:type="dcterms:W3CDTF">2023-01-12T07:23:00Z</dcterms:created>
  <dcterms:modified xsi:type="dcterms:W3CDTF">2024-01-30T02:43:00Z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