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0D" w:rsidRDefault="003478C7" w:rsidP="00441C8C">
      <w:pPr>
        <w:spacing w:afterLines="100" w:line="700" w:lineRule="exact"/>
        <w:jc w:val="center"/>
        <w:rPr>
          <w:rFonts w:ascii="方正小标宋简体" w:eastAsia="方正小标宋简体" w:hAnsi="方正小标宋简体" w:cs="方正小标宋简体"/>
          <w:bCs/>
          <w:color w:val="000000"/>
          <w:w w:val="88"/>
          <w:sz w:val="44"/>
          <w:szCs w:val="44"/>
        </w:rPr>
      </w:pPr>
      <w:r>
        <w:rPr>
          <w:rFonts w:ascii="方正小标宋简体" w:eastAsia="方正小标宋简体" w:hAnsi="方正小标宋简体" w:cs="方正小标宋简体" w:hint="eastAsia"/>
          <w:bCs/>
          <w:color w:val="000000"/>
          <w:w w:val="88"/>
          <w:sz w:val="44"/>
          <w:szCs w:val="44"/>
        </w:rPr>
        <w:t>国家税务总局贵州红花岗经济开发区税务局</w:t>
      </w:r>
    </w:p>
    <w:p w:rsidR="00E25038" w:rsidRDefault="003478C7" w:rsidP="00441C8C">
      <w:pPr>
        <w:spacing w:afterLines="100" w:line="7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color w:val="000000"/>
          <w:w w:val="88"/>
          <w:sz w:val="44"/>
          <w:szCs w:val="44"/>
        </w:rPr>
        <w:t>2023年政府信息公开工作年度报告</w:t>
      </w:r>
    </w:p>
    <w:p w:rsidR="00E25038" w:rsidRDefault="003478C7">
      <w:pPr>
        <w:pStyle w:val="a5"/>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根据《中华人民共和国政府信息公开条例》第五十条之规定，</w:t>
      </w:r>
      <w:r w:rsidR="00776C0D">
        <w:rPr>
          <w:rFonts w:ascii="仿宋_GB2312" w:eastAsia="仿宋_GB2312" w:hAnsi="仿宋_GB2312" w:cs="仿宋_GB2312" w:hint="eastAsia"/>
          <w:sz w:val="32"/>
          <w:szCs w:val="32"/>
        </w:rPr>
        <w:t>制作本报告。</w:t>
      </w:r>
      <w:r w:rsidR="00776C0D">
        <w:rPr>
          <w:rFonts w:ascii="仿宋_GB2312" w:eastAsia="仿宋_GB2312" w:hAnsi="仿宋_GB2312" w:cs="仿宋_GB2312"/>
          <w:spacing w:val="-20"/>
          <w:sz w:val="32"/>
          <w:szCs w:val="32"/>
        </w:rPr>
        <w:t xml:space="preserve"> </w:t>
      </w:r>
    </w:p>
    <w:p w:rsidR="00E25038" w:rsidRDefault="003478C7">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一、总体情况</w:t>
      </w:r>
    </w:p>
    <w:p w:rsidR="00E25038" w:rsidRDefault="0034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2023年，国家税务总局贵州红花岗经济开发区税务局始终以习近平新时代中国特色社会主义思想为指导，认真贯彻落实党中央、国务院关于全面推进政务公开的决策部署，落</w:t>
      </w:r>
      <w:r w:rsidR="00FC5DA7" w:rsidRPr="00FC5DA7">
        <w:rPr>
          <w:rFonts w:ascii="仿宋_GB2312" w:eastAsia="仿宋_GB2312" w:hAnsi="华文仿宋"/>
          <w:color w:val="000000"/>
          <w:sz w:val="32"/>
          <w:szCs w:val="32"/>
        </w:rPr>
        <w:pict>
          <v:group id="组合 18" o:spid="_x0000_s1033" style="position:absolute;left:0;text-align:left;margin-left:70.15pt;margin-top:744.95pt;width:481.9pt;height:3.05pt;z-index:251656704;mso-position-horizontal-relative:text;mso-position-vertical-relative:text" coordsize="9638,61203" o:gfxdata="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6THpXtsAAAAOAQAA&#10;DwAAAAAAAAABACAAAAAiAAAAZHJzL2Rvd25yZXYueG1sUEsBAhQAFAAAAAgAh07iQH/77o2IAgAA&#10;UgcAAA4AAAAAAAAAAQAgAAAAKgEAAGRycy9lMm9Eb2MueG1sUEsFBgAAAAAGAAYAWQEAACQGAAAA&#10;AA==&#10;">
            <v:line id="_x0000_s1026" style="position:absolute" from="0,61" to="9638,61" o:gfxdata="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DmbsAAADb&#10;AAAADwAAAAAAAAABACAAAAAiAAAAZHJzL2Rvd25yZXYueG1sUEsBAhQAFAAAAAgAh07iQDMvBZ47&#10;AAAAOQAAABAAAAAAAAAAAQAgAAAACgEAAGRycy9zaGFwZXhtbC54bWxQSwUGAAAAAAYABgBbAQAA&#10;tAMAAAAA&#10;" strokeweight="3pt"/>
            <v:line id="_x0000_s1034" style="position:absolute" from="0,0" to="9638,0" o:gfxdata="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Z6FC5AAAA2wAA&#10;AA8AAAAAAAAAAQAgAAAAIgAAAGRycy9kb3ducmV2LnhtbFBLAQIUABQAAAAIAIdO4kAzLwWeOwAA&#10;ADkAAAAQAAAAAAAAAAEAIAAAAAgBAABkcnMvc2hhcGV4bWwueG1sUEsFBgAAAAAGAAYAWwEAALID&#10;AAAAAA==&#10;" strokeweight="1.25pt"/>
          </v:group>
        </w:pict>
      </w:r>
      <w:r>
        <w:rPr>
          <w:rFonts w:ascii="仿宋_GB2312" w:eastAsia="仿宋_GB2312" w:hAnsi="仿宋_GB2312" w:cs="仿宋_GB2312" w:hint="eastAsia"/>
          <w:sz w:val="32"/>
          <w:szCs w:val="32"/>
        </w:rPr>
        <w:t>实区委区政府的有关要求，围绕税收工作中心和社会公众关切，坚持“以公开为常态、不公开为例外”原则，不断加大政府信息公开工作力度，切实保</w:t>
      </w:r>
      <w:r w:rsidR="00FC5DA7" w:rsidRPr="00FC5DA7">
        <w:rPr>
          <w:rFonts w:ascii="仿宋_GB2312" w:eastAsia="仿宋_GB2312" w:hAnsi="华文仿宋"/>
          <w:color w:val="000000"/>
          <w:sz w:val="32"/>
          <w:szCs w:val="32"/>
        </w:rPr>
        <w:pict>
          <v:group id="组合 15" o:spid="_x0000_s1030" style="position:absolute;left:0;text-align:left;margin-left:58.15pt;margin-top:732.95pt;width:481.9pt;height:3.05pt;z-index:251657728;mso-position-horizontal-relative:text;mso-position-vertical-relative:text" coordsize="9638,61203" o:gfxdata="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0kem1NwAAAAOAQAA&#10;DwAAAAAAAAABACAAAAAiAAAAZHJzL2Rvd25yZXYueG1sUEsBAhQAFAAAAAgAh07iQDX8Y6eHAgAA&#10;UgcAAA4AAAAAAAAAAQAgAAAAKwEAAGRycy9lMm9Eb2MueG1sUEsFBgAAAAAGAAYAWQEAACQGAAAA&#10;AA==&#10;">
            <v:line id="_x0000_s1032" style="position:absolute" from="0,61" to="9638,61" o:gfxdata="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GW+28AAAA&#10;2wAAAA8AAAAAAAAAAQAgAAAAIgAAAGRycy9kb3ducmV2LnhtbFBLAQIUABQAAAAIAIdO4kAzLwWe&#10;OwAAADkAAAAQAAAAAAAAAAEAIAAAAAsBAABkcnMvc2hhcGV4bWwueG1sUEsFBgAAAAAGAAYAWwEA&#10;ALUDAAAAAA==&#10;" strokeweight="3pt"/>
            <v:line id="_x0000_s1031" style="position:absolute" from="0,0" to="9638,0" o:gfxdata="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rkvIugAAANsA&#10;AAAPAAAAAAAAAAEAIAAAACIAAABkcnMvZG93bnJldi54bWxQSwECFAAUAAAACACHTuJAMy8FnjsA&#10;AAA5AAAAEAAAAAAAAAABACAAAAAJAQAAZHJzL3NoYXBleG1sLnhtbFBLBQYAAAAABgAGAFsBAACz&#10;AwAAAAA=&#10;" strokeweight="1.25pt"/>
          </v:group>
        </w:pict>
      </w:r>
      <w:r>
        <w:rPr>
          <w:rFonts w:ascii="仿宋_GB2312" w:eastAsia="仿宋_GB2312" w:hAnsi="仿宋_GB2312" w:cs="仿宋_GB2312" w:hint="eastAsia"/>
          <w:sz w:val="32"/>
          <w:szCs w:val="32"/>
        </w:rPr>
        <w:t>障纳税人缴费人的知情权、参与权、表达权和监督权,全面提升政务公开水平。</w:t>
      </w:r>
      <w:r w:rsidR="00FC5DA7" w:rsidRPr="00FC5DA7">
        <w:rPr>
          <w:rFonts w:ascii="仿宋_GB2312" w:eastAsia="仿宋_GB2312" w:hAnsi="华文仿宋"/>
          <w:color w:val="000000"/>
          <w:sz w:val="32"/>
          <w:szCs w:val="32"/>
        </w:rPr>
        <w:pict>
          <v:group id="组合 12" o:spid="_x0000_s1027" style="position:absolute;left:0;text-align:left;margin-left:82.15pt;margin-top:756.95pt;width:481.9pt;height:3.05pt;z-index:251658752;mso-position-horizontal-relative:text;mso-position-vertical-relative:text" coordsize="9638,61203" o:gfxdata="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ey7tsAAAAO&#10;AQAADwAAAAAAAAABACAAAAAiAAAAZHJzL2Rvd25yZXYueG1sUEsBAhQAFAAAAAgAh07iQDKvmwGL&#10;AgAAUgcAAA4AAAAAAAAAAQAgAAAAKgEAAGRycy9lMm9Eb2MueG1sUEsFBgAAAAAGAAYAWQEAACcG&#10;AAAAAA==&#10;">
            <v:line id="_x0000_s1029" style="position:absolute" from="0,61" to="9638,61" o:gfxdata="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JnLsAAADb&#10;AAAADwAAAAAAAAABACAAAAAiAAAAZHJzL2Rvd25yZXYueG1sUEsBAhQAFAAAAAgAh07iQDMvBZ47&#10;AAAAOQAAABAAAAAAAAAAAQAgAAAACgEAAGRycy9zaGFwZXhtbC54bWxQSwUGAAAAAAYABgBbAQAA&#10;tAMAAAAA&#10;" strokeweight="3pt"/>
            <v:line id="_x0000_s1028" style="position:absolute" from="0,0" to="9638,0" o:gfxdata="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2lQ2K2AAAA2wAAAA8A&#10;AAAAAAAAAQAgAAAAIgAAAGRycy9kb3ducmV2LnhtbFBLAQIUABQAAAAIAIdO4kAzLwWeOwAAADkA&#10;AAAQAAAAAAAAAAEAIAAAAAUBAABkcnMvc2hhcGV4bWwueG1sUEsFBgAAAAAGAAYAWwEAAK8DAAAA&#10;AA==&#10;" strokeweight="1.25pt"/>
          </v:group>
        </w:pict>
      </w:r>
    </w:p>
    <w:p w:rsidR="00E25038" w:rsidRDefault="003478C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（一）政府信息主动公开情况</w:t>
      </w:r>
    </w:p>
    <w:p w:rsidR="00E25038" w:rsidRDefault="003478C7">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2023年，我局通过税务网站、办税服务厅、新闻媒体等多种渠道，主动公开机构职能、政策法规、规范性文件、行政许可、行政处罚、办税指南、税收统计、欠税公告、信用等级、重大税收违法案件等信息。通过信用中国网站公布行政许可2688条，行政处罚1104条；依托微信公众号、《直播遵义》《多彩贵州网》《贵州日报》</w:t>
      </w:r>
      <w:bookmarkStart w:id="0" w:name="_GoBack"/>
      <w:bookmarkEnd w:id="0"/>
      <w:r>
        <w:rPr>
          <w:rFonts w:ascii="仿宋_GB2312" w:eastAsia="仿宋_GB2312" w:hAnsi="仿宋_GB2312" w:cs="仿宋_GB2312" w:hint="eastAsia"/>
          <w:sz w:val="32"/>
          <w:szCs w:val="32"/>
        </w:rPr>
        <w:t>《天眼新闻》等媒介发布稿件71篇。</w:t>
      </w:r>
    </w:p>
    <w:p w:rsidR="00E25038" w:rsidRDefault="003478C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（二）政府信息依申请公开情况</w:t>
      </w:r>
    </w:p>
    <w:p w:rsidR="00E25038" w:rsidRDefault="0034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深入贯彻实施《中华人民共和国政府信息公开条例》，严格</w:t>
      </w:r>
      <w:r>
        <w:rPr>
          <w:rFonts w:ascii="仿宋_GB2312" w:eastAsia="仿宋_GB2312" w:hAnsi="仿宋_GB2312" w:cs="仿宋_GB2312" w:hint="eastAsia"/>
          <w:sz w:val="32"/>
          <w:szCs w:val="32"/>
        </w:rPr>
        <w:lastRenderedPageBreak/>
        <w:t>执行政府工作信息依申请公开标准，扎实做好信息公开各项工作，提升政务公开工作质效。2023年全局未收到依申请公开申请事项。</w:t>
      </w:r>
    </w:p>
    <w:p w:rsidR="00E25038" w:rsidRDefault="003478C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（三）政府信息管理情况</w:t>
      </w:r>
    </w:p>
    <w:p w:rsidR="00E25038" w:rsidRDefault="003478C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规范流程，责任落实到人。高度重视政府信息公开工作，依托政府信息公开领导小组及办公室，明确责任分工，压实主体责任，确保责任不缺位。</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强化落实，制度执行到位。加强税收政策解读，有序推进税收决策公开、执行公开、管理公开、服务公开、结果公开，不断拓展税务政府信息公开的深度和广度，确保公开事项发布的规范高效。</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审核，健全保密审查机制。遵循“谁公开谁审查”“谁审查谁负责”“先审查后公开”以及“一事一审查”原则，按照规范流程开展政府公开信息的收集、编辑、审核和发布等工作，严防涉密信息上网的同时确保公开信息的准确性与时效性。</w:t>
      </w:r>
    </w:p>
    <w:p w:rsidR="00E25038" w:rsidRDefault="003478C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（四）平台建设情况</w:t>
      </w:r>
    </w:p>
    <w:p w:rsidR="00E25038" w:rsidRDefault="003478C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充分利用省、市局网站、微信公众号、电子税务局、</w:t>
      </w:r>
      <w:r>
        <w:rPr>
          <w:rFonts w:ascii="仿宋_GB2312" w:eastAsia="仿宋_GB2312" w:cs="等线" w:hint="eastAsia"/>
          <w:sz w:val="32"/>
          <w:szCs w:val="32"/>
        </w:rPr>
        <w:t>税企互动平台、微信群</w:t>
      </w:r>
      <w:r>
        <w:rPr>
          <w:rFonts w:ascii="仿宋_GB2312" w:eastAsia="仿宋_GB2312" w:hAnsi="仿宋_GB2312" w:cs="仿宋_GB2312" w:hint="eastAsia"/>
          <w:sz w:val="32"/>
          <w:szCs w:val="32"/>
        </w:rPr>
        <w:t>等拓宽信息发布传播渠道，推广“互联网+政务公开”，加强网上办税服务公开。</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依托办税服务厅将政府信息公开工作与纳税服务相结合，通过公开办税服务指南、发放宣传册，广泛宣传各项新政和便民办税举措。</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依托公告栏、显示屏等，为纳税人缴费人精准推送各类涉税费信息，确保政府信息公开更加直接、有效、透明。</w:t>
      </w:r>
    </w:p>
    <w:p w:rsidR="00E25038" w:rsidRDefault="003478C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（五）监督保障情况</w:t>
      </w:r>
    </w:p>
    <w:p w:rsidR="00E25038" w:rsidRDefault="0034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我局将政府信息公开工作纳入绩效考核，及时更新机构职能、领导简介、联系方式等信息，广泛接受社会监督。对热点回应不及时、弄虚作假、期满公众，造成不良社会影响的，追究相关部门和人员责任。</w:t>
      </w:r>
    </w:p>
    <w:p w:rsidR="00E25038" w:rsidRDefault="003478C7">
      <w:pPr>
        <w:spacing w:line="560" w:lineRule="exact"/>
        <w:ind w:firstLineChars="200" w:firstLine="640"/>
        <w:rPr>
          <w:rFonts w:ascii="仿宋_GB2312" w:eastAsia="黑体" w:hAnsi="仿宋_GB2312" w:cs="仿宋_GB2312"/>
          <w:color w:val="FF0000"/>
          <w:sz w:val="32"/>
          <w:szCs w:val="32"/>
        </w:rPr>
      </w:pPr>
      <w:r>
        <w:rPr>
          <w:rFonts w:ascii="黑体" w:eastAsia="黑体" w:hAnsi="黑体" w:hint="eastAsia"/>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E25038">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第二十条第（一）项</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本年</w:t>
            </w:r>
            <w:r>
              <w:rPr>
                <w:rFonts w:ascii="宋体" w:hAnsi="宋体" w:cs="宋体" w:hint="eastAsia"/>
                <w:color w:val="333333"/>
                <w:kern w:val="0"/>
                <w:sz w:val="20"/>
                <w:szCs w:val="20"/>
              </w:rPr>
              <w:t>制发件数</w:t>
            </w:r>
          </w:p>
        </w:tc>
        <w:tc>
          <w:tcPr>
            <w:tcW w:w="2435" w:type="dxa"/>
            <w:tcBorders>
              <w:top w:val="single" w:sz="8" w:space="0" w:color="auto"/>
              <w:left w:val="nil"/>
              <w:bottom w:val="single" w:sz="8" w:space="0" w:color="auto"/>
              <w:right w:val="single" w:sz="4"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现行有效件</w:t>
            </w:r>
            <w:r>
              <w:rPr>
                <w:rFonts w:ascii="宋体" w:hAnsi="宋体" w:cs="宋体" w:hint="eastAsia"/>
                <w:color w:val="333333"/>
                <w:kern w:val="0"/>
                <w:sz w:val="20"/>
                <w:szCs w:val="20"/>
              </w:rPr>
              <w:t>数</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4"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cs="Calibri" w:hint="eastAsia"/>
                <w:color w:val="333333"/>
                <w:szCs w:val="21"/>
              </w:rPr>
              <w:t>0</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4"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cs="Calibri" w:hint="eastAsia"/>
                <w:color w:val="333333"/>
                <w:szCs w:val="21"/>
              </w:rPr>
              <w:t>0</w:t>
            </w:r>
          </w:p>
        </w:tc>
      </w:tr>
      <w:tr w:rsidR="00E2503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第二十条第（五）项</w:t>
            </w:r>
          </w:p>
        </w:tc>
      </w:tr>
      <w:tr w:rsidR="00E25038">
        <w:trPr>
          <w:trHeight w:val="340"/>
          <w:jc w:val="center"/>
        </w:trPr>
        <w:tc>
          <w:tcPr>
            <w:tcW w:w="2435" w:type="dxa"/>
            <w:tcBorders>
              <w:top w:val="nil"/>
              <w:left w:val="single" w:sz="8" w:space="0" w:color="auto"/>
              <w:bottom w:val="single" w:sz="8" w:space="0" w:color="auto"/>
              <w:right w:val="single" w:sz="4"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本年处理决定数量</w:t>
            </w:r>
          </w:p>
        </w:tc>
      </w:tr>
      <w:tr w:rsidR="00E25038">
        <w:trPr>
          <w:trHeight w:val="340"/>
          <w:jc w:val="center"/>
        </w:trPr>
        <w:tc>
          <w:tcPr>
            <w:tcW w:w="2435" w:type="dxa"/>
            <w:tcBorders>
              <w:top w:val="single" w:sz="8" w:space="0" w:color="auto"/>
              <w:left w:val="single" w:sz="8" w:space="0" w:color="auto"/>
              <w:bottom w:val="single" w:sz="8" w:space="0" w:color="auto"/>
              <w:right w:val="single" w:sz="4"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color w:val="000000"/>
                <w:kern w:val="0"/>
                <w:sz w:val="20"/>
                <w:szCs w:val="20"/>
              </w:rPr>
              <w:t>行政许可</w:t>
            </w:r>
          </w:p>
        </w:tc>
        <w:tc>
          <w:tcPr>
            <w:tcW w:w="7305" w:type="dxa"/>
            <w:gridSpan w:val="3"/>
            <w:tcBorders>
              <w:top w:val="single" w:sz="8" w:space="0" w:color="auto"/>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cs="Calibri" w:hint="eastAsia"/>
                <w:szCs w:val="21"/>
              </w:rPr>
              <w:t>2688</w:t>
            </w:r>
          </w:p>
        </w:tc>
      </w:tr>
      <w:tr w:rsidR="00E2503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第二十条第（六）项</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本年处理决定数量</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hint="eastAsia"/>
              </w:rPr>
              <w:t>1104</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kern w:val="0"/>
                <w:sz w:val="20"/>
                <w:szCs w:val="20"/>
              </w:rPr>
              <w:t>0</w:t>
            </w:r>
          </w:p>
        </w:tc>
      </w:tr>
      <w:tr w:rsidR="00E25038">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E25038" w:rsidRDefault="003478C7">
            <w:pPr>
              <w:widowControl/>
              <w:spacing w:line="30" w:lineRule="atLeast"/>
              <w:jc w:val="center"/>
            </w:pPr>
            <w:r>
              <w:rPr>
                <w:rFonts w:ascii="宋体" w:hAnsi="宋体" w:cs="宋体" w:hint="eastAsia"/>
                <w:kern w:val="0"/>
                <w:sz w:val="20"/>
                <w:szCs w:val="20"/>
              </w:rPr>
              <w:t>第二十条第（八）项</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E25038" w:rsidRDefault="003478C7">
            <w:pPr>
              <w:widowControl/>
              <w:spacing w:line="30" w:lineRule="atLeast"/>
              <w:jc w:val="center"/>
            </w:pPr>
            <w:r>
              <w:rPr>
                <w:rFonts w:ascii="宋体" w:hAnsi="宋体" w:cs="宋体" w:hint="eastAsia"/>
                <w:color w:val="000000"/>
                <w:kern w:val="0"/>
                <w:sz w:val="20"/>
                <w:szCs w:val="20"/>
              </w:rPr>
              <w:t>本年收费金额（单位：万元）</w:t>
            </w:r>
          </w:p>
        </w:tc>
      </w:tr>
      <w:tr w:rsidR="00E25038">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E25038" w:rsidRDefault="003478C7">
            <w:pPr>
              <w:widowControl/>
              <w:spacing w:line="30" w:lineRule="atLeast"/>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E25038" w:rsidRDefault="003478C7">
            <w:pPr>
              <w:jc w:val="center"/>
              <w:rPr>
                <w:rFonts w:ascii="宋体" w:hAnsi="宋体" w:cs="宋体"/>
                <w:color w:val="333333"/>
                <w:szCs w:val="21"/>
              </w:rPr>
            </w:pPr>
            <w:r>
              <w:rPr>
                <w:rFonts w:ascii="宋体" w:hAnsi="宋体" w:cs="宋体" w:hint="eastAsia"/>
                <w:color w:val="333333"/>
                <w:szCs w:val="21"/>
              </w:rPr>
              <w:t>0</w:t>
            </w:r>
          </w:p>
        </w:tc>
      </w:tr>
    </w:tbl>
    <w:p w:rsidR="00E25038" w:rsidRDefault="003478C7">
      <w:pPr>
        <w:spacing w:line="560" w:lineRule="exact"/>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tblPr>
      <w:tblGrid>
        <w:gridCol w:w="1100"/>
        <w:gridCol w:w="843"/>
        <w:gridCol w:w="3867"/>
        <w:gridCol w:w="427"/>
        <w:gridCol w:w="323"/>
        <w:gridCol w:w="323"/>
        <w:gridCol w:w="740"/>
        <w:gridCol w:w="740"/>
        <w:gridCol w:w="323"/>
        <w:gridCol w:w="323"/>
      </w:tblGrid>
      <w:tr w:rsidR="00E25038" w:rsidTr="00776C0D">
        <w:trPr>
          <w:jc w:val="center"/>
        </w:trPr>
        <w:tc>
          <w:tcPr>
            <w:tcW w:w="3225" w:type="pct"/>
            <w:gridSpan w:val="3"/>
            <w:vMerge w:val="restart"/>
            <w:tcBorders>
              <w:top w:val="single" w:sz="8" w:space="0" w:color="auto"/>
              <w:left w:val="single" w:sz="8" w:space="0" w:color="auto"/>
              <w:bottom w:val="outset" w:sz="6" w:space="0" w:color="auto"/>
              <w:right w:val="single" w:sz="8" w:space="0" w:color="auto"/>
            </w:tcBorders>
            <w:noWrap/>
            <w:tcMar>
              <w:left w:w="108" w:type="dxa"/>
              <w:right w:w="108" w:type="dxa"/>
            </w:tcMar>
            <w:vAlign w:val="center"/>
          </w:tcPr>
          <w:p w:rsidR="00E25038" w:rsidRDefault="003478C7">
            <w:pPr>
              <w:widowControl/>
              <w:spacing w:line="30" w:lineRule="atLeast"/>
              <w:jc w:val="left"/>
            </w:pPr>
            <w:r>
              <w:rPr>
                <w:rFonts w:ascii="楷体" w:eastAsia="楷体" w:hAnsi="楷体" w:cs="楷体" w:hint="eastAsia"/>
                <w:color w:val="333333"/>
                <w:kern w:val="0"/>
                <w:sz w:val="20"/>
                <w:szCs w:val="20"/>
              </w:rPr>
              <w:t>（本列数据的勾稽关系为：第一项加第二项之和，等于第三项加第四项之和）</w:t>
            </w:r>
          </w:p>
        </w:tc>
        <w:tc>
          <w:tcPr>
            <w:tcW w:w="1775" w:type="pct"/>
            <w:gridSpan w:val="7"/>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申请人情况</w:t>
            </w:r>
          </w:p>
        </w:tc>
      </w:tr>
      <w:tr w:rsidR="00E25038" w:rsidTr="00776C0D">
        <w:trPr>
          <w:jc w:val="center"/>
        </w:trPr>
        <w:tc>
          <w:tcPr>
            <w:tcW w:w="3225" w:type="pct"/>
            <w:gridSpan w:val="3"/>
            <w:vMerge/>
            <w:tcBorders>
              <w:top w:val="single" w:sz="8" w:space="0" w:color="auto"/>
              <w:left w:val="single" w:sz="8" w:space="0" w:color="auto"/>
              <w:bottom w:val="outset" w:sz="6" w:space="0" w:color="auto"/>
              <w:right w:val="single" w:sz="8" w:space="0" w:color="auto"/>
            </w:tcBorders>
            <w:noWrap/>
            <w:tcMar>
              <w:left w:w="108" w:type="dxa"/>
              <w:right w:w="108" w:type="dxa"/>
            </w:tcMar>
            <w:vAlign w:val="center"/>
          </w:tcPr>
          <w:p w:rsidR="00E25038" w:rsidRDefault="00E25038">
            <w:pPr>
              <w:jc w:val="left"/>
              <w:rPr>
                <w:rFonts w:ascii="宋体" w:hAnsi="宋体" w:cs="宋体"/>
                <w:color w:val="333333"/>
                <w:szCs w:val="21"/>
              </w:rPr>
            </w:pPr>
          </w:p>
        </w:tc>
        <w:tc>
          <w:tcPr>
            <w:tcW w:w="237" w:type="pct"/>
            <w:vMerge w:val="restar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自然人</w:t>
            </w:r>
          </w:p>
        </w:tc>
        <w:tc>
          <w:tcPr>
            <w:tcW w:w="1359" w:type="pct"/>
            <w:gridSpan w:val="5"/>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法人或其他组织</w:t>
            </w:r>
          </w:p>
        </w:tc>
        <w:tc>
          <w:tcPr>
            <w:tcW w:w="179" w:type="pct"/>
            <w:vMerge w:val="restart"/>
            <w:tcBorders>
              <w:top w:val="single" w:sz="8" w:space="0" w:color="auto"/>
              <w:left w:val="nil"/>
              <w:bottom w:val="outset" w:sz="6"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总计</w:t>
            </w:r>
          </w:p>
        </w:tc>
      </w:tr>
      <w:tr w:rsidR="00E25038" w:rsidTr="00776C0D">
        <w:trPr>
          <w:jc w:val="center"/>
        </w:trPr>
        <w:tc>
          <w:tcPr>
            <w:tcW w:w="3225" w:type="pct"/>
            <w:gridSpan w:val="3"/>
            <w:vMerge/>
            <w:tcBorders>
              <w:top w:val="single" w:sz="8" w:space="0" w:color="auto"/>
              <w:left w:val="single" w:sz="8" w:space="0" w:color="auto"/>
              <w:bottom w:val="outset" w:sz="6" w:space="0" w:color="auto"/>
              <w:right w:val="single" w:sz="8" w:space="0" w:color="auto"/>
            </w:tcBorders>
            <w:noWrap/>
            <w:tcMar>
              <w:left w:w="108" w:type="dxa"/>
              <w:right w:w="108" w:type="dxa"/>
            </w:tcMar>
            <w:vAlign w:val="center"/>
          </w:tcPr>
          <w:p w:rsidR="00E25038" w:rsidRDefault="00E25038">
            <w:pPr>
              <w:jc w:val="left"/>
              <w:rPr>
                <w:rFonts w:ascii="宋体" w:hAnsi="宋体" w:cs="宋体"/>
                <w:color w:val="333333"/>
                <w:szCs w:val="21"/>
              </w:rPr>
            </w:pPr>
          </w:p>
        </w:tc>
        <w:tc>
          <w:tcPr>
            <w:tcW w:w="237" w:type="pct"/>
            <w:vMerge/>
            <w:tcBorders>
              <w:top w:val="nil"/>
              <w:left w:val="nil"/>
              <w:bottom w:val="single" w:sz="8" w:space="0" w:color="auto"/>
              <w:right w:val="single" w:sz="8" w:space="0" w:color="auto"/>
            </w:tcBorders>
            <w:noWrap/>
            <w:vAlign w:val="center"/>
          </w:tcPr>
          <w:p w:rsidR="00E25038" w:rsidRDefault="00E25038">
            <w:pPr>
              <w:jc w:val="left"/>
              <w:rPr>
                <w:rFonts w:ascii="宋体" w:hAnsi="宋体" w:cs="宋体"/>
                <w:color w:val="333333"/>
                <w:szCs w:val="21"/>
              </w:rPr>
            </w:pP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商业</w:t>
            </w:r>
          </w:p>
          <w:p w:rsidR="00E25038" w:rsidRDefault="003478C7">
            <w:pPr>
              <w:widowControl/>
              <w:spacing w:line="30" w:lineRule="atLeast"/>
              <w:jc w:val="center"/>
            </w:pPr>
            <w:r>
              <w:rPr>
                <w:rFonts w:ascii="宋体" w:hAnsi="宋体" w:cs="宋体" w:hint="eastAsia"/>
                <w:color w:val="333333"/>
                <w:kern w:val="0"/>
                <w:sz w:val="20"/>
                <w:szCs w:val="20"/>
              </w:rPr>
              <w:t>企业</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科研</w:t>
            </w:r>
          </w:p>
          <w:p w:rsidR="00E25038" w:rsidRDefault="003478C7">
            <w:pPr>
              <w:widowControl/>
              <w:spacing w:line="30" w:lineRule="atLeast"/>
              <w:jc w:val="center"/>
            </w:pPr>
            <w:r>
              <w:rPr>
                <w:rFonts w:ascii="宋体" w:hAnsi="宋体" w:cs="宋体" w:hint="eastAsia"/>
                <w:color w:val="333333"/>
                <w:kern w:val="0"/>
                <w:sz w:val="20"/>
                <w:szCs w:val="20"/>
              </w:rPr>
              <w:t>机构</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社会公益组织</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法律服务机构</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其他</w:t>
            </w:r>
          </w:p>
        </w:tc>
        <w:tc>
          <w:tcPr>
            <w:tcW w:w="179" w:type="pct"/>
            <w:vMerge/>
            <w:tcBorders>
              <w:top w:val="single" w:sz="8" w:space="0" w:color="auto"/>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r>
      <w:tr w:rsidR="00E25038" w:rsidTr="00776C0D">
        <w:trPr>
          <w:jc w:val="center"/>
        </w:trPr>
        <w:tc>
          <w:tcPr>
            <w:tcW w:w="3225" w:type="pct"/>
            <w:gridSpan w:val="3"/>
            <w:tcBorders>
              <w:top w:val="nil"/>
              <w:left w:val="single" w:sz="8" w:space="0" w:color="auto"/>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一、本年新收政府信息公开申请数量</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3225" w:type="pct"/>
            <w:gridSpan w:val="3"/>
            <w:tcBorders>
              <w:top w:val="nil"/>
              <w:left w:val="single" w:sz="8" w:space="0" w:color="auto"/>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二、上年结转政府信息公开申请数量</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val="restart"/>
            <w:tcBorders>
              <w:top w:val="nil"/>
              <w:left w:val="single" w:sz="8" w:space="0" w:color="auto"/>
              <w:bottom w:val="outset" w:sz="6"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三、本年度办理结果</w:t>
            </w:r>
          </w:p>
        </w:tc>
        <w:tc>
          <w:tcPr>
            <w:tcW w:w="2614" w:type="pct"/>
            <w:gridSpan w:val="2"/>
            <w:tcBorders>
              <w:top w:val="nil"/>
              <w:left w:val="nil"/>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（一）予以公开</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614" w:type="pct"/>
            <w:gridSpan w:val="2"/>
            <w:tcBorders>
              <w:top w:val="nil"/>
              <w:left w:val="nil"/>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（二）部分公开</w:t>
            </w:r>
            <w:r>
              <w:rPr>
                <w:rFonts w:ascii="楷体" w:eastAsia="楷体" w:hAnsi="楷体" w:cs="楷体" w:hint="eastAsia"/>
                <w:color w:val="333333"/>
                <w:kern w:val="0"/>
                <w:sz w:val="20"/>
                <w:szCs w:val="20"/>
              </w:rPr>
              <w:t>（区分处理的，只计这一情形，不计</w:t>
            </w:r>
            <w:r>
              <w:rPr>
                <w:rFonts w:ascii="楷体" w:eastAsia="楷体" w:hAnsi="楷体" w:cs="楷体" w:hint="eastAsia"/>
                <w:color w:val="333333"/>
                <w:kern w:val="0"/>
                <w:sz w:val="20"/>
                <w:szCs w:val="20"/>
              </w:rPr>
              <w:lastRenderedPageBreak/>
              <w:t>其他情形）</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lastRenderedPageBreak/>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val="restart"/>
            <w:tcBorders>
              <w:top w:val="nil"/>
              <w:left w:val="nil"/>
              <w:bottom w:val="outset" w:sz="6"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（三）不予公开</w:t>
            </w: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1.属于国家秘密</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2.其他法律行政法规禁止公开</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3.危及“三安全一稳定”</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4.保护第三方合法权益</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5.属于三类内部事务信息</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6.属于四类过程性信息</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7.属于行政执法案卷</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8.属于行政查询事项</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val="restart"/>
            <w:tcBorders>
              <w:top w:val="nil"/>
              <w:left w:val="nil"/>
              <w:bottom w:val="outset" w:sz="6"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（四）无法提供</w:t>
            </w: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1.本机关不掌握相关政府信息</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trHeight w:val="344"/>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2.没有现成信息需要另行制作</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3.补正后申请内容仍不明确</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val="restart"/>
            <w:tcBorders>
              <w:top w:val="nil"/>
              <w:left w:val="nil"/>
              <w:bottom w:val="outset" w:sz="6"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（五）不予处理</w:t>
            </w:r>
          </w:p>
        </w:tc>
        <w:tc>
          <w:tcPr>
            <w:tcW w:w="2146" w:type="pct"/>
            <w:tcBorders>
              <w:top w:val="nil"/>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1.信访举报投诉类申请</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2.重复申请</w:t>
            </w:r>
          </w:p>
        </w:tc>
        <w:tc>
          <w:tcPr>
            <w:tcW w:w="237"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3.要求提供公开出版物</w:t>
            </w:r>
          </w:p>
        </w:tc>
        <w:tc>
          <w:tcPr>
            <w:tcW w:w="237"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left"/>
            </w:pPr>
            <w:r>
              <w:rPr>
                <w:rFonts w:ascii="宋体" w:hAnsi="宋体" w:cs="宋体" w:hint="eastAsia"/>
                <w:color w:val="333333"/>
                <w:kern w:val="0"/>
                <w:sz w:val="20"/>
                <w:szCs w:val="20"/>
              </w:rPr>
              <w:t>4.无正当理由大量反复申请</w:t>
            </w:r>
          </w:p>
        </w:tc>
        <w:tc>
          <w:tcPr>
            <w:tcW w:w="237"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single" w:sz="8" w:space="0" w:color="auto"/>
              <w:left w:val="nil"/>
              <w:bottom w:val="single" w:sz="8" w:space="0" w:color="auto"/>
              <w:right w:val="single" w:sz="8" w:space="0" w:color="auto"/>
            </w:tcBorders>
            <w:noWrap/>
          </w:tcPr>
          <w:p w:rsidR="00E25038" w:rsidRDefault="003478C7">
            <w:pPr>
              <w:widowControl/>
              <w:spacing w:line="30" w:lineRule="atLeast"/>
              <w:jc w:val="center"/>
            </w:pPr>
            <w:r>
              <w:rPr>
                <w:rFonts w:hint="eastAsia"/>
              </w:rPr>
              <w:t>0</w:t>
            </w:r>
          </w:p>
        </w:tc>
      </w:tr>
      <w:tr w:rsidR="00E25038" w:rsidTr="00776C0D">
        <w:trPr>
          <w:trHeight w:val="779"/>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nil"/>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outset" w:sz="6" w:space="0" w:color="auto"/>
              <w:right w:val="single" w:sz="8" w:space="0" w:color="auto"/>
            </w:tcBorders>
            <w:noWrap/>
            <w:vAlign w:val="center"/>
          </w:tcPr>
          <w:p w:rsidR="00E25038" w:rsidRDefault="003478C7">
            <w:pPr>
              <w:widowControl/>
              <w:spacing w:line="30" w:lineRule="atLeast"/>
            </w:pPr>
            <w:r>
              <w:rPr>
                <w:rFonts w:ascii="宋体" w:hAnsi="宋体" w:cs="宋体" w:hint="eastAsia"/>
                <w:color w:val="333333"/>
                <w:kern w:val="0"/>
                <w:sz w:val="20"/>
                <w:szCs w:val="20"/>
              </w:rPr>
              <w:t>5.要求行政机关确认或重新出具已获取信息</w:t>
            </w:r>
          </w:p>
        </w:tc>
        <w:tc>
          <w:tcPr>
            <w:tcW w:w="237"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outset" w:sz="6"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val="restart"/>
            <w:tcBorders>
              <w:top w:val="outset" w:sz="6" w:space="0" w:color="auto"/>
              <w:left w:val="nil"/>
              <w:bottom w:val="outset" w:sz="6"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（六）其他处理</w:t>
            </w:r>
          </w:p>
        </w:tc>
        <w:tc>
          <w:tcPr>
            <w:tcW w:w="2146" w:type="pct"/>
            <w:tcBorders>
              <w:top w:val="nil"/>
              <w:left w:val="nil"/>
              <w:bottom w:val="single" w:sz="8" w:space="0" w:color="auto"/>
              <w:right w:val="single" w:sz="8" w:space="0" w:color="auto"/>
            </w:tcBorders>
            <w:noWrap/>
            <w:vAlign w:val="center"/>
          </w:tcPr>
          <w:p w:rsidR="00E25038" w:rsidRDefault="003478C7">
            <w:pPr>
              <w:widowControl/>
              <w:spacing w:line="30" w:lineRule="atLeast"/>
            </w:pPr>
            <w:r>
              <w:rPr>
                <w:rFonts w:ascii="宋体" w:hAnsi="宋体" w:cs="宋体" w:hint="eastAsia"/>
                <w:color w:val="333333"/>
                <w:kern w:val="0"/>
                <w:sz w:val="20"/>
                <w:szCs w:val="20"/>
              </w:rPr>
              <w:t>1.申请人无正当理由逾期不补正、行政机关不再处理其政府信息公开申请</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outset" w:sz="6" w:space="0" w:color="auto"/>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vAlign w:val="center"/>
          </w:tcPr>
          <w:p w:rsidR="00E25038" w:rsidRDefault="003478C7">
            <w:pPr>
              <w:widowControl/>
              <w:spacing w:line="30" w:lineRule="atLeast"/>
            </w:pPr>
            <w:r>
              <w:rPr>
                <w:rFonts w:ascii="宋体" w:hAnsi="宋体" w:cs="宋体" w:hint="eastAsia"/>
                <w:color w:val="333333"/>
                <w:kern w:val="0"/>
                <w:sz w:val="20"/>
                <w:szCs w:val="20"/>
              </w:rPr>
              <w:t>2.申请人逾期未按收费通知要求缴纳费用、行政机关不再处理其政府信息公开申请</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468" w:type="pct"/>
            <w:vMerge/>
            <w:tcBorders>
              <w:top w:val="outset" w:sz="6" w:space="0" w:color="auto"/>
              <w:left w:val="nil"/>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146" w:type="pct"/>
            <w:tcBorders>
              <w:top w:val="nil"/>
              <w:left w:val="nil"/>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3.其他</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611" w:type="pct"/>
            <w:vMerge/>
            <w:tcBorders>
              <w:top w:val="nil"/>
              <w:left w:val="single" w:sz="8" w:space="0" w:color="auto"/>
              <w:bottom w:val="outset" w:sz="6" w:space="0" w:color="auto"/>
              <w:right w:val="single" w:sz="8" w:space="0" w:color="auto"/>
            </w:tcBorders>
            <w:noWrap/>
            <w:vAlign w:val="center"/>
          </w:tcPr>
          <w:p w:rsidR="00E25038" w:rsidRDefault="00E25038">
            <w:pPr>
              <w:jc w:val="left"/>
              <w:rPr>
                <w:rFonts w:ascii="宋体" w:hAnsi="宋体" w:cs="宋体"/>
                <w:color w:val="333333"/>
                <w:szCs w:val="21"/>
              </w:rPr>
            </w:pPr>
          </w:p>
        </w:tc>
        <w:tc>
          <w:tcPr>
            <w:tcW w:w="2614" w:type="pct"/>
            <w:gridSpan w:val="2"/>
            <w:tcBorders>
              <w:top w:val="nil"/>
              <w:left w:val="nil"/>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（七）总计</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r w:rsidR="00E25038" w:rsidTr="00776C0D">
        <w:trPr>
          <w:jc w:val="center"/>
        </w:trPr>
        <w:tc>
          <w:tcPr>
            <w:tcW w:w="3225" w:type="pct"/>
            <w:gridSpan w:val="3"/>
            <w:tcBorders>
              <w:top w:val="nil"/>
              <w:left w:val="single" w:sz="8" w:space="0" w:color="auto"/>
              <w:bottom w:val="single" w:sz="8" w:space="0" w:color="auto"/>
              <w:right w:val="single" w:sz="8" w:space="0" w:color="auto"/>
            </w:tcBorders>
            <w:noWrap/>
            <w:vAlign w:val="center"/>
          </w:tcPr>
          <w:p w:rsidR="00E25038" w:rsidRDefault="003478C7">
            <w:pPr>
              <w:widowControl/>
              <w:spacing w:line="30" w:lineRule="atLeast"/>
              <w:jc w:val="left"/>
            </w:pPr>
            <w:r>
              <w:rPr>
                <w:rFonts w:ascii="宋体" w:hAnsi="宋体" w:cs="宋体" w:hint="eastAsia"/>
                <w:color w:val="333333"/>
                <w:kern w:val="0"/>
                <w:sz w:val="20"/>
                <w:szCs w:val="20"/>
              </w:rPr>
              <w:t>四、结转下年度继续办理</w:t>
            </w:r>
          </w:p>
        </w:tc>
        <w:tc>
          <w:tcPr>
            <w:tcW w:w="237"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411"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c>
          <w:tcPr>
            <w:tcW w:w="179" w:type="pct"/>
            <w:tcBorders>
              <w:top w:val="nil"/>
              <w:left w:val="nil"/>
              <w:bottom w:val="single" w:sz="8" w:space="0" w:color="auto"/>
              <w:right w:val="single" w:sz="8" w:space="0" w:color="auto"/>
            </w:tcBorders>
            <w:noWrap/>
            <w:vAlign w:val="center"/>
          </w:tcPr>
          <w:p w:rsidR="00E25038" w:rsidRDefault="003478C7">
            <w:pPr>
              <w:widowControl/>
              <w:spacing w:line="30" w:lineRule="atLeast"/>
              <w:jc w:val="center"/>
            </w:pPr>
            <w:r>
              <w:rPr>
                <w:rFonts w:hint="eastAsia"/>
              </w:rPr>
              <w:t>0</w:t>
            </w:r>
          </w:p>
        </w:tc>
      </w:tr>
    </w:tbl>
    <w:p w:rsidR="00E25038" w:rsidRDefault="003478C7">
      <w:pPr>
        <w:spacing w:line="560" w:lineRule="exact"/>
        <w:ind w:firstLineChars="200" w:firstLine="640"/>
        <w:rPr>
          <w:rFonts w:ascii="黑体" w:eastAsia="黑体" w:hAnsi="黑体"/>
          <w:color w:val="FF0000"/>
          <w:sz w:val="32"/>
          <w:szCs w:val="32"/>
        </w:rPr>
      </w:pPr>
      <w:r>
        <w:rPr>
          <w:rFonts w:ascii="黑体" w:eastAsia="黑体" w:hAnsi="黑体" w:hint="eastAsia"/>
          <w:sz w:val="32"/>
          <w:szCs w:val="32"/>
        </w:rPr>
        <w:t>四、政府信息公开行政复议、行政诉讼情况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E25038" w:rsidTr="00441C8C">
        <w:trPr>
          <w:jc w:val="center"/>
        </w:trPr>
        <w:tc>
          <w:tcPr>
            <w:tcW w:w="3250" w:type="dxa"/>
            <w:gridSpan w:val="5"/>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行政复议</w:t>
            </w:r>
          </w:p>
        </w:tc>
        <w:tc>
          <w:tcPr>
            <w:tcW w:w="6498" w:type="dxa"/>
            <w:gridSpan w:val="10"/>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行政诉讼</w:t>
            </w:r>
          </w:p>
        </w:tc>
      </w:tr>
      <w:tr w:rsidR="00E25038" w:rsidTr="00441C8C">
        <w:trPr>
          <w:jc w:val="center"/>
        </w:trPr>
        <w:tc>
          <w:tcPr>
            <w:tcW w:w="650" w:type="dxa"/>
            <w:vMerge w:val="restart"/>
            <w:tcBorders>
              <w:top w:val="nil"/>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结果维持</w:t>
            </w:r>
          </w:p>
        </w:tc>
        <w:tc>
          <w:tcPr>
            <w:tcW w:w="650" w:type="dxa"/>
            <w:vMerge w:val="restart"/>
            <w:tcBorders>
              <w:top w:val="nil"/>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w:t>
            </w:r>
            <w:r>
              <w:rPr>
                <w:rFonts w:ascii="宋体" w:hAnsi="宋体" w:cs="宋体" w:hint="eastAsia"/>
                <w:color w:val="333333"/>
                <w:kern w:val="0"/>
                <w:sz w:val="20"/>
                <w:szCs w:val="20"/>
              </w:rPr>
              <w:br/>
              <w:t>纠正</w:t>
            </w:r>
          </w:p>
        </w:tc>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其他</w:t>
            </w:r>
            <w:r>
              <w:rPr>
                <w:rFonts w:ascii="宋体" w:hAnsi="宋体" w:cs="宋体" w:hint="eastAsia"/>
                <w:color w:val="333333"/>
                <w:kern w:val="0"/>
                <w:sz w:val="20"/>
                <w:szCs w:val="20"/>
              </w:rPr>
              <w:br/>
              <w:t>结果</w:t>
            </w:r>
          </w:p>
        </w:tc>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尚未</w:t>
            </w:r>
            <w:r>
              <w:rPr>
                <w:rFonts w:ascii="宋体" w:hAnsi="宋体" w:cs="宋体" w:hint="eastAsia"/>
                <w:color w:val="333333"/>
                <w:kern w:val="0"/>
                <w:sz w:val="20"/>
                <w:szCs w:val="20"/>
              </w:rPr>
              <w:br/>
              <w:t>审结</w:t>
            </w:r>
          </w:p>
        </w:tc>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总计</w:t>
            </w:r>
          </w:p>
        </w:tc>
        <w:tc>
          <w:tcPr>
            <w:tcW w:w="3248" w:type="dxa"/>
            <w:gridSpan w:val="5"/>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未经复议直接起诉</w:t>
            </w:r>
          </w:p>
        </w:tc>
        <w:tc>
          <w:tcPr>
            <w:tcW w:w="3250" w:type="dxa"/>
            <w:gridSpan w:val="5"/>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复议后起诉</w:t>
            </w:r>
          </w:p>
        </w:tc>
      </w:tr>
      <w:tr w:rsidR="00E25038" w:rsidTr="00441C8C">
        <w:trPr>
          <w:jc w:val="center"/>
        </w:trPr>
        <w:tc>
          <w:tcPr>
            <w:tcW w:w="650" w:type="dxa"/>
            <w:vMerge/>
            <w:tcBorders>
              <w:top w:val="nil"/>
              <w:left w:val="single" w:sz="4" w:space="0" w:color="auto"/>
              <w:bottom w:val="single" w:sz="4" w:space="0" w:color="auto"/>
              <w:right w:val="single" w:sz="4" w:space="0" w:color="auto"/>
            </w:tcBorders>
            <w:noWrap/>
            <w:vAlign w:val="center"/>
          </w:tcPr>
          <w:p w:rsidR="00E25038" w:rsidRDefault="00E25038">
            <w:pPr>
              <w:jc w:val="left"/>
              <w:rPr>
                <w:rFonts w:ascii="宋体" w:hAnsi="宋体" w:cs="宋体"/>
                <w:color w:val="333333"/>
                <w:szCs w:val="21"/>
              </w:rPr>
            </w:pPr>
          </w:p>
        </w:tc>
        <w:tc>
          <w:tcPr>
            <w:tcW w:w="650" w:type="dxa"/>
            <w:vMerge/>
            <w:tcBorders>
              <w:top w:val="nil"/>
              <w:left w:val="single" w:sz="4" w:space="0" w:color="auto"/>
              <w:bottom w:val="single" w:sz="4" w:space="0" w:color="auto"/>
              <w:right w:val="single" w:sz="4" w:space="0" w:color="auto"/>
            </w:tcBorders>
            <w:noWrap/>
            <w:vAlign w:val="center"/>
          </w:tcPr>
          <w:p w:rsidR="00E25038" w:rsidRDefault="00E25038">
            <w:pPr>
              <w:jc w:val="left"/>
              <w:rPr>
                <w:rFonts w:ascii="宋体" w:hAnsi="宋体" w:cs="宋体"/>
                <w:color w:val="333333"/>
                <w:szCs w:val="21"/>
              </w:rPr>
            </w:pPr>
          </w:p>
        </w:tc>
        <w:tc>
          <w:tcPr>
            <w:tcW w:w="650" w:type="dxa"/>
            <w:vMerge/>
            <w:tcBorders>
              <w:top w:val="single" w:sz="4" w:space="0" w:color="auto"/>
              <w:left w:val="single" w:sz="4" w:space="0" w:color="auto"/>
              <w:bottom w:val="single" w:sz="4" w:space="0" w:color="auto"/>
              <w:right w:val="single" w:sz="4" w:space="0" w:color="auto"/>
            </w:tcBorders>
            <w:noWrap/>
            <w:vAlign w:val="center"/>
          </w:tcPr>
          <w:p w:rsidR="00E25038" w:rsidRDefault="00E25038">
            <w:pPr>
              <w:jc w:val="left"/>
              <w:rPr>
                <w:rFonts w:ascii="宋体" w:hAnsi="宋体" w:cs="宋体"/>
                <w:color w:val="333333"/>
                <w:szCs w:val="21"/>
              </w:rPr>
            </w:pPr>
          </w:p>
        </w:tc>
        <w:tc>
          <w:tcPr>
            <w:tcW w:w="650" w:type="dxa"/>
            <w:vMerge/>
            <w:tcBorders>
              <w:top w:val="single" w:sz="4" w:space="0" w:color="auto"/>
              <w:left w:val="single" w:sz="4" w:space="0" w:color="auto"/>
              <w:bottom w:val="single" w:sz="4" w:space="0" w:color="auto"/>
              <w:right w:val="single" w:sz="4" w:space="0" w:color="auto"/>
            </w:tcBorders>
            <w:noWrap/>
            <w:vAlign w:val="center"/>
          </w:tcPr>
          <w:p w:rsidR="00E25038" w:rsidRDefault="00E25038">
            <w:pPr>
              <w:jc w:val="left"/>
              <w:rPr>
                <w:rFonts w:ascii="宋体" w:hAnsi="宋体" w:cs="宋体"/>
                <w:color w:val="333333"/>
                <w:szCs w:val="21"/>
              </w:rPr>
            </w:pPr>
          </w:p>
        </w:tc>
        <w:tc>
          <w:tcPr>
            <w:tcW w:w="650" w:type="dxa"/>
            <w:vMerge/>
            <w:tcBorders>
              <w:top w:val="single" w:sz="4" w:space="0" w:color="auto"/>
              <w:left w:val="single" w:sz="4" w:space="0" w:color="auto"/>
              <w:bottom w:val="single" w:sz="4" w:space="0" w:color="auto"/>
              <w:right w:val="single" w:sz="4" w:space="0" w:color="auto"/>
            </w:tcBorders>
            <w:noWrap/>
            <w:vAlign w:val="center"/>
          </w:tcPr>
          <w:p w:rsidR="00E25038" w:rsidRDefault="00E25038">
            <w:pPr>
              <w:jc w:val="left"/>
              <w:rPr>
                <w:rFonts w:ascii="宋体" w:hAnsi="宋体" w:cs="宋体"/>
                <w:color w:val="333333"/>
                <w:szCs w:val="21"/>
              </w:rPr>
            </w:pPr>
          </w:p>
        </w:tc>
        <w:tc>
          <w:tcPr>
            <w:tcW w:w="649"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w:t>
            </w:r>
            <w:r>
              <w:rPr>
                <w:rFonts w:ascii="宋体" w:hAnsi="宋体" w:cs="宋体" w:hint="eastAsia"/>
                <w:color w:val="333333"/>
                <w:kern w:val="0"/>
                <w:sz w:val="20"/>
                <w:szCs w:val="20"/>
              </w:rPr>
              <w:br/>
              <w:t>维持</w:t>
            </w:r>
          </w:p>
        </w:tc>
        <w:tc>
          <w:tcPr>
            <w:tcW w:w="649"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w:t>
            </w:r>
            <w:r>
              <w:rPr>
                <w:rFonts w:ascii="宋体" w:hAnsi="宋体" w:cs="宋体" w:hint="eastAsia"/>
                <w:color w:val="333333"/>
                <w:kern w:val="0"/>
                <w:sz w:val="20"/>
                <w:szCs w:val="20"/>
              </w:rPr>
              <w:br/>
              <w:t>纠正</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其他</w:t>
            </w:r>
            <w:r>
              <w:rPr>
                <w:rFonts w:ascii="宋体" w:hAnsi="宋体" w:cs="宋体" w:hint="eastAsia"/>
                <w:color w:val="333333"/>
                <w:kern w:val="0"/>
                <w:sz w:val="20"/>
                <w:szCs w:val="20"/>
              </w:rPr>
              <w:br/>
              <w:t>结果</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尚未</w:t>
            </w:r>
            <w:r>
              <w:rPr>
                <w:rFonts w:ascii="宋体" w:hAnsi="宋体" w:cs="宋体" w:hint="eastAsia"/>
                <w:color w:val="333333"/>
                <w:kern w:val="0"/>
                <w:sz w:val="20"/>
                <w:szCs w:val="20"/>
              </w:rPr>
              <w:br/>
              <w:t>审结</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000000"/>
                <w:kern w:val="0"/>
                <w:sz w:val="20"/>
                <w:szCs w:val="20"/>
              </w:rPr>
              <w:t>总计</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w:t>
            </w:r>
            <w:r>
              <w:rPr>
                <w:rFonts w:ascii="宋体" w:hAnsi="宋体" w:cs="宋体" w:hint="eastAsia"/>
                <w:color w:val="333333"/>
                <w:kern w:val="0"/>
                <w:sz w:val="20"/>
                <w:szCs w:val="20"/>
              </w:rPr>
              <w:br/>
              <w:t>维持</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结果</w:t>
            </w:r>
            <w:r>
              <w:rPr>
                <w:rFonts w:ascii="宋体" w:hAnsi="宋体" w:cs="宋体" w:hint="eastAsia"/>
                <w:color w:val="333333"/>
                <w:kern w:val="0"/>
                <w:sz w:val="20"/>
                <w:szCs w:val="20"/>
              </w:rPr>
              <w:br/>
              <w:t>纠正</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333333"/>
                <w:kern w:val="0"/>
                <w:sz w:val="20"/>
                <w:szCs w:val="20"/>
              </w:rPr>
              <w:t>尚未</w:t>
            </w:r>
            <w:r>
              <w:rPr>
                <w:rFonts w:ascii="宋体" w:hAnsi="宋体" w:cs="宋体" w:hint="eastAsia"/>
                <w:color w:val="333333"/>
                <w:kern w:val="0"/>
                <w:sz w:val="20"/>
                <w:szCs w:val="20"/>
              </w:rPr>
              <w:br/>
              <w:t>审结</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ascii="宋体" w:hAnsi="宋体" w:cs="宋体" w:hint="eastAsia"/>
                <w:color w:val="000000"/>
                <w:kern w:val="0"/>
                <w:sz w:val="20"/>
                <w:szCs w:val="20"/>
              </w:rPr>
              <w:t>总计</w:t>
            </w:r>
          </w:p>
        </w:tc>
      </w:tr>
      <w:tr w:rsidR="00E25038" w:rsidTr="00441C8C">
        <w:trPr>
          <w:trHeight w:val="672"/>
          <w:jc w:val="center"/>
        </w:trPr>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49"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49"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widowControl/>
              <w:spacing w:line="30" w:lineRule="atLeast"/>
              <w:jc w:val="center"/>
            </w:pPr>
            <w:r>
              <w:rPr>
                <w:rFonts w:hint="eastAsia"/>
              </w:rPr>
              <w:t>0</w:t>
            </w:r>
          </w:p>
        </w:tc>
        <w:tc>
          <w:tcPr>
            <w:tcW w:w="650" w:type="dxa"/>
            <w:tcBorders>
              <w:top w:val="single" w:sz="4" w:space="0" w:color="auto"/>
              <w:left w:val="single" w:sz="4" w:space="0" w:color="auto"/>
              <w:bottom w:val="single" w:sz="4" w:space="0" w:color="auto"/>
              <w:right w:val="single" w:sz="4" w:space="0" w:color="auto"/>
            </w:tcBorders>
            <w:noWrap/>
            <w:vAlign w:val="center"/>
          </w:tcPr>
          <w:p w:rsidR="00E25038" w:rsidRDefault="003478C7">
            <w:pPr>
              <w:jc w:val="center"/>
              <w:rPr>
                <w:rFonts w:ascii="宋体" w:hAnsi="宋体" w:cs="宋体"/>
                <w:color w:val="333333"/>
                <w:szCs w:val="21"/>
              </w:rPr>
            </w:pPr>
            <w:r>
              <w:rPr>
                <w:rFonts w:ascii="宋体" w:hAnsi="宋体" w:cs="宋体" w:hint="eastAsia"/>
                <w:color w:val="333333"/>
                <w:szCs w:val="21"/>
              </w:rPr>
              <w:t>0</w:t>
            </w:r>
          </w:p>
        </w:tc>
      </w:tr>
    </w:tbl>
    <w:p w:rsidR="00E25038" w:rsidRDefault="003478C7">
      <w:pPr>
        <w:spacing w:line="56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E25038" w:rsidRDefault="0034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存在问题：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信息公开内容不够全面及时，对税收政策解</w:t>
      </w:r>
      <w:r>
        <w:rPr>
          <w:rFonts w:ascii="仿宋_GB2312" w:eastAsia="仿宋_GB2312" w:hAnsi="仿宋_GB2312" w:cs="仿宋_GB2312" w:hint="eastAsia"/>
          <w:sz w:val="32"/>
          <w:szCs w:val="32"/>
        </w:rPr>
        <w:lastRenderedPageBreak/>
        <w:t>读、办税服务指引等信息不够细化完善。</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信息公开形式不够丰富多样，与纳税人交流互动不够密切有效。</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信息公开的工作机制需进一步规范，存在职责不清晰、流程不顺畅、监督不到位等问题。</w:t>
      </w:r>
    </w:p>
    <w:p w:rsidR="00E25038" w:rsidRDefault="0034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改进情况：</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加强组织领导，明确各部门职责分工，优化信息公开工作流程和监督考核机制，确保信息公开工作规范、高效运行。</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加大信息公开力度，拓展公开内容，及时更新税收政策、办税指南、服务承诺、监督举报等信息，提高信息公开全面性、准确性和及时性。</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丰富信息公开形式，不断提高平台建设和管理水平，增强与纳税人的交流互动，提高信息公开的针对性、便捷性和有效性。</w:t>
      </w:r>
    </w:p>
    <w:p w:rsidR="00E25038" w:rsidRDefault="003478C7">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776C0D" w:rsidRDefault="00776C0D" w:rsidP="00776C0D">
      <w:pPr>
        <w:spacing w:line="560" w:lineRule="exact"/>
        <w:ind w:firstLine="645"/>
        <w:rPr>
          <w:rFonts w:ascii="仿宋_GB2312" w:eastAsia="仿宋_GB2312"/>
          <w:sz w:val="32"/>
          <w:szCs w:val="32"/>
        </w:rPr>
      </w:pPr>
      <w:r>
        <w:rPr>
          <w:rFonts w:ascii="仿宋_GB2312" w:eastAsia="仿宋_GB2312" w:hint="eastAsia"/>
          <w:sz w:val="32"/>
          <w:szCs w:val="32"/>
        </w:rPr>
        <w:t>本报告中相关统计数据为</w:t>
      </w:r>
      <w:r>
        <w:rPr>
          <w:rFonts w:ascii="仿宋_GB2312" w:eastAsia="仿宋_GB2312" w:hAnsi="仿宋_GB2312" w:cs="仿宋_GB2312" w:hint="eastAsia"/>
          <w:sz w:val="32"/>
          <w:szCs w:val="32"/>
        </w:rPr>
        <w:t>国家税务总局贵州红花岗经济开发区税务局</w:t>
      </w:r>
      <w:r>
        <w:rPr>
          <w:rFonts w:ascii="仿宋_GB2312" w:eastAsia="仿宋_GB2312" w:hint="eastAsia"/>
          <w:sz w:val="32"/>
          <w:szCs w:val="32"/>
        </w:rPr>
        <w:t>数据。</w:t>
      </w:r>
    </w:p>
    <w:p w:rsidR="00776C0D" w:rsidRDefault="00776C0D" w:rsidP="00776C0D">
      <w:pPr>
        <w:spacing w:line="560" w:lineRule="exact"/>
        <w:ind w:firstLine="645"/>
        <w:rPr>
          <w:rFonts w:ascii="仿宋_GB2312" w:eastAsia="仿宋_GB2312"/>
          <w:sz w:val="32"/>
          <w:szCs w:val="32"/>
        </w:rPr>
      </w:pPr>
      <w:r>
        <w:rPr>
          <w:rFonts w:ascii="仿宋_GB2312" w:eastAsia="仿宋_GB2312" w:hint="eastAsia"/>
          <w:sz w:val="32"/>
          <w:szCs w:val="32"/>
        </w:rPr>
        <w:t>国家税务总局贵州省税务局网站网址为：http://guizhou.chinatax.gov.cn/，如需查阅本报告电子版，请登录查询。 </w:t>
      </w:r>
    </w:p>
    <w:p w:rsidR="00776C0D" w:rsidRPr="00776C0D" w:rsidRDefault="00776C0D">
      <w:pPr>
        <w:spacing w:line="560" w:lineRule="exact"/>
        <w:ind w:firstLineChars="200" w:firstLine="640"/>
        <w:rPr>
          <w:rFonts w:ascii="仿宋_GB2312" w:eastAsia="仿宋_GB2312" w:hAnsi="仿宋_GB2312" w:cs="仿宋_GB2312"/>
          <w:sz w:val="32"/>
          <w:szCs w:val="32"/>
        </w:rPr>
      </w:pPr>
    </w:p>
    <w:sectPr w:rsidR="00776C0D" w:rsidRPr="00776C0D" w:rsidSect="00E25038">
      <w:footerReference w:type="default" r:id="rId7"/>
      <w:pgSz w:w="11906" w:h="16838"/>
      <w:pgMar w:top="2098" w:right="1531" w:bottom="1984"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5D" w:rsidRDefault="00781B5D" w:rsidP="00E25038">
      <w:r>
        <w:separator/>
      </w:r>
    </w:p>
  </w:endnote>
  <w:endnote w:type="continuationSeparator" w:id="1">
    <w:p w:rsidR="00781B5D" w:rsidRDefault="00781B5D" w:rsidP="00E2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38" w:rsidRDefault="00FC5DA7">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E25038" w:rsidRDefault="00FC5DA7">
                <w:pPr>
                  <w:pStyle w:val="a3"/>
                  <w:rPr>
                    <w:sz w:val="28"/>
                    <w:szCs w:val="28"/>
                  </w:rPr>
                </w:pPr>
                <w:r>
                  <w:rPr>
                    <w:rFonts w:ascii="宋体" w:hAnsi="宋体" w:cs="宋体" w:hint="eastAsia"/>
                    <w:sz w:val="28"/>
                    <w:szCs w:val="28"/>
                  </w:rPr>
                  <w:fldChar w:fldCharType="begin"/>
                </w:r>
                <w:r w:rsidR="003478C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41C8C">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5D" w:rsidRDefault="00781B5D" w:rsidP="00E25038">
      <w:r>
        <w:separator/>
      </w:r>
    </w:p>
  </w:footnote>
  <w:footnote w:type="continuationSeparator" w:id="1">
    <w:p w:rsidR="00781B5D" w:rsidRDefault="00781B5D" w:rsidP="00E2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038"/>
    <w:rsid w:val="003478C7"/>
    <w:rsid w:val="00441C8C"/>
    <w:rsid w:val="00776C0D"/>
    <w:rsid w:val="00781B5D"/>
    <w:rsid w:val="00E25038"/>
    <w:rsid w:val="00FC5DA7"/>
    <w:rsid w:val="0C297117"/>
    <w:rsid w:val="11BE6E4A"/>
    <w:rsid w:val="1E704348"/>
    <w:rsid w:val="23C02878"/>
    <w:rsid w:val="25465E02"/>
    <w:rsid w:val="29497CE6"/>
    <w:rsid w:val="3B8D267C"/>
    <w:rsid w:val="43701685"/>
    <w:rsid w:val="45310F01"/>
    <w:rsid w:val="48621B63"/>
    <w:rsid w:val="4F9D4B6E"/>
    <w:rsid w:val="55E429ED"/>
    <w:rsid w:val="5BCF3259"/>
    <w:rsid w:val="5F92357A"/>
    <w:rsid w:val="620D66F3"/>
    <w:rsid w:val="67337472"/>
    <w:rsid w:val="69125207"/>
    <w:rsid w:val="6E830E93"/>
    <w:rsid w:val="70497656"/>
    <w:rsid w:val="7CF709D6"/>
    <w:rsid w:val="7E5E4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038"/>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5038"/>
    <w:pPr>
      <w:tabs>
        <w:tab w:val="center" w:pos="4153"/>
        <w:tab w:val="right" w:pos="8306"/>
      </w:tabs>
      <w:snapToGrid w:val="0"/>
      <w:jc w:val="left"/>
    </w:pPr>
    <w:rPr>
      <w:sz w:val="18"/>
    </w:rPr>
  </w:style>
  <w:style w:type="paragraph" w:styleId="a4">
    <w:name w:val="header"/>
    <w:basedOn w:val="a"/>
    <w:rsid w:val="00E250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rsid w:val="00E25038"/>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424</Words>
  <Characters>2417</Characters>
  <Application>Microsoft Office Word</Application>
  <DocSecurity>0</DocSecurity>
  <Lines>20</Lines>
  <Paragraphs>5</Paragraphs>
  <ScaleCrop>false</ScaleCrop>
  <Company>pc</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陈剑锋</cp:lastModifiedBy>
  <cp:revision>3</cp:revision>
  <dcterms:created xsi:type="dcterms:W3CDTF">2021-06-30T06:27:00Z</dcterms:created>
  <dcterms:modified xsi:type="dcterms:W3CDTF">2024-01-30T03:00:00Z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