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国家税务总局</w:t>
      </w:r>
      <w:r>
        <w:rPr>
          <w:rFonts w:hint="eastAsia" w:ascii="仿宋" w:hAnsi="仿宋" w:eastAsia="仿宋" w:cs="仿宋"/>
          <w:b/>
          <w:bCs/>
          <w:color w:val="333333"/>
          <w:sz w:val="44"/>
          <w:szCs w:val="44"/>
          <w:lang w:val="en-US" w:eastAsia="zh-CN"/>
        </w:rPr>
        <w:t>德江县税务局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202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/>
        </w:rPr>
        <w:t>1</w:t>
      </w:r>
      <w:r>
        <w:rPr>
          <w:rFonts w:hint="eastAsia" w:ascii="仿宋" w:hAnsi="仿宋" w:eastAsia="仿宋" w:cs="仿宋"/>
          <w:b/>
          <w:bCs/>
          <w:sz w:val="44"/>
          <w:szCs w:val="44"/>
        </w:rPr>
        <w:t>年政府信息公开工作年度报告</w:t>
      </w:r>
    </w:p>
    <w:p>
      <w:pPr>
        <w:pStyle w:val="3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宋体" w:hAnsi="宋体" w:eastAsia="宋体" w:cs="宋体"/>
          <w:b/>
          <w:bCs/>
        </w:rPr>
      </w:pP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根据《中华人民共和国政府信息公开条例》第五十条之规定，制作本报告。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2021年，国家税务总局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德江县</w:t>
      </w:r>
      <w:r>
        <w:rPr>
          <w:rFonts w:hint="eastAsia" w:ascii="仿宋_GB2312" w:hAnsi="仿宋_GB2312" w:eastAsia="仿宋_GB2312" w:cs="仿宋_GB2312"/>
          <w:sz w:val="32"/>
          <w:szCs w:val="32"/>
        </w:rPr>
        <w:t>税务局坚持以习近平新时代中国特色社会主义思想为指导，全面贯彻落实全面贯彻党的十九大和十九届二中、三中、四中、五中、六中全会精神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认真学习贯彻</w:t>
      </w:r>
      <w:r>
        <w:rPr>
          <w:rFonts w:hint="eastAsia" w:ascii="仿宋_GB2312" w:hAnsi="仿宋_GB2312" w:eastAsia="仿宋_GB2312" w:cs="仿宋_GB2312"/>
          <w:sz w:val="32"/>
          <w:szCs w:val="32"/>
        </w:rPr>
        <w:t>新修订的《中华人民共和国政府信息公开条例》（以下简称《条例》）以及省、市税务局和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德江县</w:t>
      </w:r>
      <w:r>
        <w:rPr>
          <w:rFonts w:hint="eastAsia" w:ascii="仿宋_GB2312" w:hAnsi="仿宋_GB2312" w:eastAsia="仿宋_GB2312" w:cs="仿宋_GB2312"/>
          <w:sz w:val="32"/>
          <w:szCs w:val="32"/>
        </w:rPr>
        <w:t>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政府关于信息公开的要求，认真做好政府信息公开相关工作。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坚持“公开为常态、不公开为例外”原则，严格执行《条例》有关规定，建立健全信息公开制度，实时更新全局概况、领导简介等信息。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畅通依申请公开受理渠道，准确及时回应群众需求。2021年，我局收到政府信息公开申请0条，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无不予公开信息，</w:t>
      </w:r>
      <w:r>
        <w:rPr>
          <w:rFonts w:hint="eastAsia" w:ascii="仿宋_GB2312" w:hAnsi="仿宋_GB2312" w:eastAsia="仿宋_GB2312" w:cs="仿宋_GB2312"/>
          <w:sz w:val="32"/>
          <w:szCs w:val="32"/>
        </w:rPr>
        <w:t>没有因政府信息公开引发的投诉举报、行政复议及行政诉讼案件。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（三）政府信息管理方面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进一步完善政府信息发布、审核机制，规范审批流程，做好职责范围内相关栏目内容的审核、报送，把好信息公开内容政治关、政策关、文字关，确保信息公开内容真实准确，符合规定。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（四）政府信息公开平台建设方面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加快政府信息公开平台建设，进一步发挥互联网作为政府信息公开重要平台的作用，不断完善政府信息公开制度，严格按照相关工作要求，及时编制基层政务公开标准目录。充分利用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税企</w:t>
      </w:r>
      <w:r>
        <w:rPr>
          <w:rFonts w:hint="eastAsia" w:ascii="仿宋_GB2312" w:hAnsi="仿宋_GB2312" w:eastAsia="仿宋_GB2312" w:cs="仿宋_GB2312"/>
          <w:sz w:val="32"/>
          <w:szCs w:val="32"/>
        </w:rPr>
        <w:t>互动平台等载体，推送、发布税收优惠政策，确保纳税人缴费人应知尽知、应享尽享。加快推进“互联网+税收”办税缴费服务，同时抓好抓实相关信息更新维护，全面提升政府信息公开质效。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（五）监督保障方面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明确监督保障主体责任，细化工作职责，将责任落实到人、落实到事。定期对公开内容进行检查，并将政务公开纳入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局绩效考评范围，为政府信息公开工作提供有力保障。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</w:rPr>
        <w:t>主动公开政府信息情况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Chars="0" w:right="0" w:rightChars="0"/>
        <w:jc w:val="left"/>
        <w:textAlignment w:val="auto"/>
        <w:rPr>
          <w:rFonts w:hint="eastAsia" w:ascii="仿宋_GB2312" w:hAnsi="仿宋_GB2312" w:eastAsia="仿宋_GB2312" w:cs="仿宋_GB2312"/>
          <w:b/>
          <w:color w:val="333333"/>
          <w:sz w:val="32"/>
          <w:szCs w:val="32"/>
        </w:rPr>
      </w:pPr>
    </w:p>
    <w:tbl>
      <w:tblPr>
        <w:tblStyle w:val="9"/>
        <w:tblW w:w="9740" w:type="dxa"/>
        <w:jc w:val="center"/>
        <w:tblInd w:w="0" w:type="dxa"/>
        <w:shd w:val="clear" w:color="auto" w:fill="FFFFFF" w:themeFill="background1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现行有效件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32"/>
                <w:szCs w:val="32"/>
                <w:lang w:val="en-US" w:eastAsia="zh-CN" w:bidi="ar"/>
              </w:rPr>
              <w:t>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888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第二十条第（八）项</w:t>
            </w:r>
          </w:p>
        </w:tc>
      </w:tr>
      <w:tr>
        <w:tblPrEx>
          <w:shd w:val="clear" w:color="auto" w:fill="FFFFFF" w:themeFill="background1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本年收费金额（单位：万元）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32"/>
                <w:szCs w:val="32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firstLine="0"/>
        <w:jc w:val="left"/>
        <w:textAlignment w:val="auto"/>
        <w:rPr>
          <w:rFonts w:hint="eastAsia" w:ascii="黑体" w:hAnsi="黑体" w:eastAsia="黑体" w:cs="黑体"/>
          <w:b/>
          <w:color w:val="333333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left"/>
        <w:textAlignment w:val="auto"/>
        <w:rPr>
          <w:rFonts w:hint="eastAsia" w:ascii="仿宋" w:hAnsi="仿宋" w:eastAsia="仿宋" w:cs="仿宋"/>
          <w:b/>
          <w:bCs w:val="0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</w:rPr>
        <w:t>收到和处理政府信息公开申请情况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Chars="0" w:right="0" w:rightChars="0"/>
        <w:jc w:val="left"/>
        <w:textAlignment w:val="auto"/>
        <w:rPr>
          <w:rFonts w:hint="eastAsia" w:ascii="黑体" w:hAnsi="黑体" w:eastAsia="黑体" w:cs="黑体"/>
          <w:b/>
          <w:color w:val="333333"/>
          <w:sz w:val="32"/>
          <w:szCs w:val="32"/>
        </w:rPr>
      </w:pPr>
    </w:p>
    <w:tbl>
      <w:tblPr>
        <w:tblStyle w:val="9"/>
        <w:tblW w:w="9741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54"/>
        <w:gridCol w:w="921"/>
        <w:gridCol w:w="3271"/>
        <w:gridCol w:w="685"/>
        <w:gridCol w:w="685"/>
        <w:gridCol w:w="685"/>
        <w:gridCol w:w="685"/>
        <w:gridCol w:w="685"/>
        <w:gridCol w:w="685"/>
        <w:gridCol w:w="68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79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自然人</w:t>
            </w:r>
          </w:p>
        </w:tc>
        <w:tc>
          <w:tcPr>
            <w:tcW w:w="342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法人或其他组织</w:t>
            </w:r>
          </w:p>
        </w:tc>
        <w:tc>
          <w:tcPr>
            <w:tcW w:w="685" w:type="dxa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85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企业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社会公益组织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法律服务机构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其他</w:t>
            </w:r>
          </w:p>
        </w:tc>
        <w:tc>
          <w:tcPr>
            <w:tcW w:w="685" w:type="dxa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三、本年度办理结果</w:t>
            </w: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（三）不予公开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3.危及“三安全一稳定”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（四）无法提供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（五）不予处理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2.重复申请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3.要求提供公开出版物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4.无正当理由大量反复申请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（六）其他处理</w:t>
            </w: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92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54" w:type="dxa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419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494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righ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32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28"/>
          <w:szCs w:val="28"/>
        </w:rPr>
      </w:pPr>
    </w:p>
    <w:tbl>
      <w:tblPr>
        <w:tblStyle w:val="9"/>
        <w:tblW w:w="97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行政复议</w:t>
            </w:r>
          </w:p>
        </w:tc>
        <w:tc>
          <w:tcPr>
            <w:tcW w:w="649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未经复议直接起诉</w:t>
            </w:r>
          </w:p>
        </w:tc>
        <w:tc>
          <w:tcPr>
            <w:tcW w:w="32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结果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其他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尚未</w:t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8"/>
                <w:szCs w:val="28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2"/>
                <w:sz w:val="28"/>
                <w:szCs w:val="28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8"/>
                <w:szCs w:val="28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2021年，我局政府信息公开工作虽然取得了一定进步，但还是存在一些问题。一是政府信息主动公开内容更新维护不够及时。二是从事政府信息公开工作的队伍整体素质不高，专业性有待提升。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color w:val="333333"/>
          <w:sz w:val="32"/>
          <w:szCs w:val="32"/>
        </w:rPr>
        <w:t>针对上述问题，我局采取了以下措施予以改进。一是对照《条例》和相关工作要求，进一步规范政府信息公开工作流程，明确岗位人员职责，提升工作效率，确保信息能够定期维护、及时更新。二是加强队伍建设，选派优秀骨干加入政府信息公开工作队伍，充实队伍力量。开展业务培训，利用集中学习、个人自学等方式和学习兴税等平台载体，深入学习政府信息公开相关要求和规定，提升工作人员专业素质和业务能力水平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3" w:firstLineChars="200"/>
        <w:jc w:val="lef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color w:val="333333"/>
          <w:sz w:val="32"/>
          <w:szCs w:val="32"/>
        </w:rPr>
        <w:t>六、其他需要报告的事项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年度，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本单位未收取信息处理费。</w:t>
      </w:r>
      <w:r>
        <w:rPr>
          <w:rFonts w:hint="eastAsia" w:ascii="仿宋_GB2312" w:hAnsi="仿宋_GB2312" w:eastAsia="仿宋_GB2312" w:cs="仿宋_GB2312"/>
          <w:b w:val="0"/>
          <w:bCs w:val="0"/>
          <w:w w:val="96"/>
          <w:sz w:val="32"/>
          <w:szCs w:val="32"/>
          <w:lang w:val="en-US" w:eastAsia="zh-CN"/>
        </w:rPr>
        <w:t>按照《国家税务总局贵州省税务局2021年政务公开工作重点任务清单》要求，逐项做好贯彻落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w w:val="96"/>
          <w:sz w:val="32"/>
          <w:szCs w:val="32"/>
          <w:lang w:val="en-US" w:eastAsia="zh-CN"/>
        </w:rPr>
        <w:t>实。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4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w w:val="96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6"/>
          <w:sz w:val="32"/>
          <w:szCs w:val="32"/>
          <w:lang w:val="en-US" w:eastAsia="zh-CN"/>
        </w:rPr>
        <w:t>本报告中相关统计数据为国家税务总</w:t>
      </w:r>
      <w:r>
        <w:rPr>
          <w:rFonts w:hint="eastAsia" w:ascii="仿宋" w:hAnsi="仿宋" w:eastAsia="仿宋" w:cs="仿宋"/>
          <w:b w:val="0"/>
          <w:bCs w:val="0"/>
          <w:w w:val="96"/>
          <w:sz w:val="32"/>
          <w:szCs w:val="32"/>
          <w:lang w:val="en-US" w:eastAsia="zh-CN"/>
        </w:rPr>
        <w:t>局德江县税务局本级数据。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4" w:firstLineChars="200"/>
        <w:jc w:val="left"/>
        <w:textAlignment w:val="auto"/>
        <w:rPr>
          <w:rFonts w:hint="default" w:ascii="仿宋_GB2312" w:hAnsi="仿宋_GB2312" w:eastAsia="仿宋_GB2312" w:cs="仿宋_GB2312"/>
          <w:b w:val="0"/>
          <w:bCs w:val="0"/>
          <w:w w:val="96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b w:val="0"/>
          <w:bCs w:val="0"/>
          <w:w w:val="96"/>
          <w:sz w:val="32"/>
          <w:szCs w:val="32"/>
          <w:lang w:val="en-US" w:eastAsia="zh-CN"/>
        </w:rPr>
        <w:t>国家税务总局贵州省税务局网站网址为：http://guizhou.chinatax.gov.cn/，如需查阅本报告电子版，请登录查询。 </w:t>
      </w:r>
    </w:p>
    <w:p>
      <w:pPr>
        <w:pStyle w:val="2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国家税务总局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德江县税务局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2022年1月21日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5484CF6"/>
    <w:multiLevelType w:val="singleLevel"/>
    <w:tmpl w:val="D5484CF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2C1CF9D"/>
    <w:multiLevelType w:val="singleLevel"/>
    <w:tmpl w:val="32C1CF9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E614BA"/>
    <w:rsid w:val="107F4083"/>
    <w:rsid w:val="10A57907"/>
    <w:rsid w:val="12610880"/>
    <w:rsid w:val="1D3E60B7"/>
    <w:rsid w:val="258A5DBC"/>
    <w:rsid w:val="2BE10FF7"/>
    <w:rsid w:val="35EA4907"/>
    <w:rsid w:val="38A61197"/>
    <w:rsid w:val="55C179D7"/>
    <w:rsid w:val="55DC37C1"/>
    <w:rsid w:val="5618448C"/>
    <w:rsid w:val="5C905B35"/>
    <w:rsid w:val="5F3B1AD0"/>
    <w:rsid w:val="64905222"/>
    <w:rsid w:val="68E614BA"/>
    <w:rsid w:val="6FFA4219"/>
    <w:rsid w:val="742B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spacing w:line="660" w:lineRule="exact"/>
      <w:ind w:firstLine="720" w:firstLineChars="200"/>
    </w:pPr>
    <w:rPr>
      <w:rFonts w:ascii="Calibri" w:hAnsi="Calibri" w:eastAsia="楷体_GB2312" w:cs="Times New Roman"/>
      <w:sz w:val="36"/>
      <w:szCs w:val="36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u w:val="none"/>
    </w:rPr>
  </w:style>
  <w:style w:type="character" w:styleId="7">
    <w:name w:val="Hyperlink"/>
    <w:basedOn w:val="4"/>
    <w:qFormat/>
    <w:uiPriority w:val="0"/>
    <w:rPr>
      <w:color w:val="000000"/>
      <w:u w:val="none"/>
    </w:rPr>
  </w:style>
  <w:style w:type="character" w:styleId="8">
    <w:name w:val="HTML Code"/>
    <w:basedOn w:val="4"/>
    <w:qFormat/>
    <w:uiPriority w:val="0"/>
    <w:rPr>
      <w:rFonts w:ascii="Courier New" w:hAnsi="Courier New"/>
      <w:sz w:val="20"/>
    </w:rPr>
  </w:style>
  <w:style w:type="character" w:customStyle="1" w:styleId="10">
    <w:name w:val="m01"/>
    <w:basedOn w:val="4"/>
    <w:qFormat/>
    <w:uiPriority w:val="0"/>
  </w:style>
  <w:style w:type="character" w:customStyle="1" w:styleId="11">
    <w:name w:val="m011"/>
    <w:basedOn w:val="4"/>
    <w:qFormat/>
    <w:uiPriority w:val="0"/>
  </w:style>
  <w:style w:type="character" w:customStyle="1" w:styleId="12">
    <w:name w:val="font"/>
    <w:basedOn w:val="4"/>
    <w:qFormat/>
    <w:uiPriority w:val="0"/>
  </w:style>
  <w:style w:type="character" w:customStyle="1" w:styleId="13">
    <w:name w:val="name"/>
    <w:basedOn w:val="4"/>
    <w:qFormat/>
    <w:uiPriority w:val="0"/>
    <w:rPr>
      <w:color w:val="6A6A6A"/>
      <w:u w:val="single"/>
    </w:rPr>
  </w:style>
  <w:style w:type="character" w:customStyle="1" w:styleId="14">
    <w:name w:val="dates"/>
    <w:basedOn w:val="4"/>
    <w:qFormat/>
    <w:uiPriority w:val="0"/>
  </w:style>
  <w:style w:type="character" w:customStyle="1" w:styleId="15">
    <w:name w:val="tabg"/>
    <w:basedOn w:val="4"/>
    <w:qFormat/>
    <w:uiPriority w:val="0"/>
    <w:rPr>
      <w:color w:val="FFFFFF"/>
      <w:sz w:val="27"/>
      <w:szCs w:val="27"/>
    </w:rPr>
  </w:style>
  <w:style w:type="character" w:customStyle="1" w:styleId="16">
    <w:name w:val="bg01"/>
    <w:basedOn w:val="4"/>
    <w:qFormat/>
    <w:uiPriority w:val="0"/>
  </w:style>
  <w:style w:type="character" w:customStyle="1" w:styleId="17">
    <w:name w:val="bg02"/>
    <w:basedOn w:val="4"/>
    <w:qFormat/>
    <w:uiPriority w:val="0"/>
  </w:style>
  <w:style w:type="character" w:customStyle="1" w:styleId="18">
    <w:name w:val="more4"/>
    <w:basedOn w:val="4"/>
    <w:qFormat/>
    <w:uiPriority w:val="0"/>
    <w:rPr>
      <w:color w:val="666666"/>
      <w:sz w:val="18"/>
      <w:szCs w:val="18"/>
    </w:rPr>
  </w:style>
  <w:style w:type="character" w:customStyle="1" w:styleId="19">
    <w:name w:val="laypage_curr"/>
    <w:basedOn w:val="4"/>
    <w:qFormat/>
    <w:uiPriority w:val="0"/>
    <w:rPr>
      <w:color w:val="FFFDF4"/>
      <w:shd w:val="clear" w:fill="0B67A6"/>
    </w:rPr>
  </w:style>
  <w:style w:type="character" w:customStyle="1" w:styleId="20">
    <w:name w:val="wzzc"/>
    <w:basedOn w:val="4"/>
    <w:qFormat/>
    <w:uiPriority w:val="0"/>
  </w:style>
  <w:style w:type="character" w:customStyle="1" w:styleId="21">
    <w:name w:val="wzzc1"/>
    <w:basedOn w:val="4"/>
    <w:qFormat/>
    <w:uiPriority w:val="0"/>
  </w:style>
  <w:style w:type="paragraph" w:customStyle="1" w:styleId="22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2022-01-21T03:30:00Z</dcterms:created>
  <dc:creator>。。。</dc:creator>
  <cp:lastModifiedBy>zj</cp:lastModifiedBy>
  <dcterms:modified xsi:type="dcterms:W3CDTF">2022-02-25T09:35:46Z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