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jc w:val="center"/>
        <w:rPr>
          <w:rFonts w:hint="eastAsia" w:ascii="华文中宋" w:hAnsi="华文中宋" w:eastAsia="华文中宋" w:cs="华文中宋"/>
          <w:sz w:val="48"/>
          <w:szCs w:val="48"/>
          <w:lang w:eastAsia="zh-CN"/>
        </w:rPr>
      </w:pPr>
      <w:r>
        <w:rPr>
          <w:rFonts w:hint="eastAsia" w:ascii="华文中宋" w:hAnsi="华文中宋" w:eastAsia="华文中宋" w:cs="华文中宋"/>
          <w:sz w:val="48"/>
          <w:szCs w:val="48"/>
          <w:lang w:eastAsia="zh-CN"/>
        </w:rPr>
        <w:t>国家税务总局铜仁市税务局第一稽查局</w:t>
      </w:r>
    </w:p>
    <w:p>
      <w:pPr>
        <w:pStyle w:val="3"/>
        <w:pageBreakBefore w:val="0"/>
        <w:widowControl w:val="0"/>
        <w:suppressAutoHyphens/>
        <w:kinsoku/>
        <w:wordWrap/>
        <w:overflowPunct/>
        <w:topLinePunct w:val="0"/>
        <w:autoSpaceDE/>
        <w:autoSpaceDN/>
        <w:bidi w:val="0"/>
        <w:adjustRightInd/>
        <w:snapToGrid/>
        <w:textAlignment w:val="auto"/>
        <w:rPr>
          <w:rFonts w:hint="eastAsia" w:ascii="Times New Roman" w:hAnsi="Times New Roman"/>
          <w:lang w:val="en-GB"/>
        </w:rPr>
      </w:pPr>
      <w:r>
        <w:rPr>
          <w:rFonts w:hint="eastAsia" w:ascii="Times New Roman" w:hAnsi="Times New Roman"/>
          <w:lang w:val="en-GB"/>
        </w:rPr>
        <w:t xml:space="preserve"> 税务处理决定书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22"/>
          <w:lang w:eastAsia="zh-CN"/>
        </w:rPr>
      </w:pPr>
      <w:r>
        <w:rPr>
          <w:rFonts w:hint="eastAsia" w:ascii="华文仿宋" w:hAnsi="华文仿宋" w:eastAsia="华文仿宋"/>
          <w:color w:val="000000"/>
          <w:spacing w:val="20"/>
          <w:sz w:val="24"/>
        </w:rPr>
        <w:t xml:space="preserve"> </w:t>
      </w:r>
      <w:r>
        <w:rPr>
          <w:rFonts w:hint="eastAsia" w:ascii="仿宋_GB2312" w:hAnsi="宋体" w:eastAsia="仿宋_GB2312"/>
          <w:color w:val="000000"/>
          <w:sz w:val="32"/>
          <w:szCs w:val="22"/>
          <w:u w:val="none"/>
          <w:lang w:eastAsia="zh-CN"/>
        </w:rPr>
        <w:t xml:space="preserve"> </w:t>
      </w:r>
      <w:r>
        <w:rPr>
          <w:rFonts w:hint="eastAsia" w:ascii="仿宋" w:hAnsi="仿宋" w:eastAsia="仿宋" w:cs="仿宋"/>
          <w:color w:val="000000"/>
          <w:sz w:val="32"/>
          <w:szCs w:val="22"/>
          <w:lang w:eastAsia="zh-CN"/>
        </w:rPr>
        <w:t xml:space="preserve"> 铜税</w:t>
      </w:r>
      <w:r>
        <w:rPr>
          <w:rFonts w:hint="eastAsia" w:ascii="仿宋" w:hAnsi="仿宋" w:eastAsia="仿宋" w:cs="仿宋"/>
          <w:color w:val="000000"/>
          <w:sz w:val="32"/>
          <w:szCs w:val="22"/>
          <w:lang w:val="en-US" w:eastAsia="zh-CN"/>
        </w:rPr>
        <w:t>一</w:t>
      </w:r>
      <w:r>
        <w:rPr>
          <w:rFonts w:hint="eastAsia" w:ascii="仿宋" w:hAnsi="仿宋" w:eastAsia="仿宋" w:cs="仿宋"/>
          <w:color w:val="000000"/>
          <w:sz w:val="32"/>
          <w:szCs w:val="22"/>
          <w:lang w:eastAsia="zh-CN"/>
        </w:rPr>
        <w:t>稽处〔20</w:t>
      </w:r>
      <w:r>
        <w:rPr>
          <w:rFonts w:hint="eastAsia" w:ascii="仿宋" w:hAnsi="仿宋" w:eastAsia="仿宋" w:cs="仿宋"/>
          <w:color w:val="000000"/>
          <w:sz w:val="32"/>
          <w:szCs w:val="22"/>
          <w:lang w:val="en-US" w:eastAsia="zh-CN"/>
        </w:rPr>
        <w:t>25</w:t>
      </w:r>
      <w:r>
        <w:rPr>
          <w:rFonts w:hint="eastAsia" w:ascii="仿宋" w:hAnsi="仿宋" w:eastAsia="仿宋" w:cs="仿宋"/>
          <w:color w:val="000000"/>
          <w:sz w:val="32"/>
          <w:szCs w:val="22"/>
          <w:lang w:eastAsia="zh-CN"/>
        </w:rPr>
        <w:t>〕</w:t>
      </w:r>
      <w:r>
        <w:rPr>
          <w:rFonts w:hint="eastAsia" w:ascii="仿宋" w:hAnsi="仿宋" w:eastAsia="仿宋" w:cs="仿宋"/>
          <w:color w:val="000000"/>
          <w:sz w:val="32"/>
          <w:szCs w:val="22"/>
          <w:lang w:val="en-US" w:eastAsia="zh-CN"/>
        </w:rPr>
        <w:t>1</w:t>
      </w:r>
      <w:r>
        <w:rPr>
          <w:rFonts w:hint="eastAsia" w:ascii="仿宋" w:hAnsi="仿宋" w:eastAsia="仿宋" w:cs="仿宋"/>
          <w:color w:val="000000"/>
          <w:sz w:val="32"/>
          <w:szCs w:val="22"/>
          <w:lang w:eastAsia="zh-CN"/>
        </w:rPr>
        <w:t>号</w:t>
      </w:r>
    </w:p>
    <w:p>
      <w:pPr>
        <w:pStyle w:val="2"/>
        <w:rPr>
          <w:rFonts w:hint="eastAsia"/>
          <w:lang w:eastAsia="zh-CN"/>
        </w:rPr>
      </w:pPr>
      <w:r>
        <w:rPr>
          <w:rFonts w:hint="eastAsia" w:ascii="仿宋_GB2312" w:hAnsi="宋体" w:eastAsia="仿宋_GB2312"/>
          <w:b/>
          <w:sz w:val="30"/>
          <w:szCs w:val="30"/>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53975</wp:posOffset>
                </wp:positionV>
                <wp:extent cx="5687695" cy="0"/>
                <wp:effectExtent l="0" t="20320" r="8255" b="36830"/>
                <wp:wrapNone/>
                <wp:docPr id="4" name="直接箭头连接符 4"/>
                <wp:cNvGraphicFramePr/>
                <a:graphic xmlns:a="http://schemas.openxmlformats.org/drawingml/2006/main">
                  <a:graphicData uri="http://schemas.microsoft.com/office/word/2010/wordprocessingShape">
                    <wps:wsp>
                      <wps:cNvCnPr/>
                      <wps:spPr>
                        <a:xfrm>
                          <a:off x="0" y="0"/>
                          <a:ext cx="5687695" cy="0"/>
                        </a:xfrm>
                        <a:prstGeom prst="straightConnector1">
                          <a:avLst/>
                        </a:prstGeom>
                        <a:ln w="412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5pt;margin-top:4.25pt;height:0pt;width:447.85pt;z-index:251661312;mso-width-relative:page;mso-height-relative:page;" filled="f" stroked="t" coordsize="21600,21600" o:gfxdata="UEsDBAoAAAAAAIdO4kAAAAAAAAAAAAAAAAAEAAAAZHJzL1BLAwQUAAAACACHTuJAJWcjS9QAAAAG&#10;AQAADwAAAGRycy9kb3ducmV2LnhtbE2Oy27CMBRE90j9B+tW6g5soCA3xGGBQFU3laD5ACe+eYj4&#10;OsQO0L+v201ZjmZ05qTbu+3YFQffOlIwnwlgSKUzLdUK8q/DVALzQZPRnSNU8I0ettnTJNWJcTc6&#10;4vUUahYh5BOtoAmhTzj3ZYNW+5nrkWJXucHqEONQczPoW4Tbji+EWHOrW4oPje5x12B5Po1WwUjL&#10;vcTPff5RXHZVsajy43svlHp5nosNsID38D+GX/2oDll0KtxIxrNOwXS9jEsFcgUs1lK+vQIr/jLP&#10;Uv6on/0AUEsDBBQAAAAIAIdO4kD/O1WI/gEAAO0DAAAOAAAAZHJzL2Uyb0RvYy54bWytU81uEzEQ&#10;viPxDpbvZJOoTcsqmx4SygVBJOABJl7vriX/yeNmk5fgBZA4ASfg1DtPA+UxGHvTFMqlB/bgHXs8&#10;38z3eWZ+sTOabWVA5WzFJ6MxZ9IKVyvbVvztm8sn55xhBFuDdlZWfC+RXyweP5r3vpRT1zldy8AI&#10;xGLZ+4p3MfqyKFB00gCOnJeWnI0LBiJtQ1vUAXpCN7qYjsezoneh9sEJiUinq8HJD4jhIYCuaZSQ&#10;KyeujLRxQA1SQyRK2CmPfJGrbRop4qumQRmZrjgxjXmlJGRv0los5lC2AXynxKEEeEgJ9zgZUJaS&#10;HqFWEIFdBfUPlFEiOHRNHAlnioFIVoRYTMb3tHndgZeZC0mN/ig6/j9Y8XK7DkzVFT/hzIKhB795&#10;f/3z3aebb19/fLz+9f1Dsr98ZidJqt5jSRFLuw6HHfp1SLx3TTDpT4zYLsu7P8ord5EJOjydnZ/N&#10;np5yJm59xV2gDxifS2dYMiqOMYBqu7h01tIjujDJ8sL2BUZKTYG3ASmrtqwnBpPpWUIH6sqGuoFM&#10;44kZ2jYHo9OqvlRapxAM7WapA9tC6oz8JYYE/Ne1lGUF2A33smvomU5C/czWLO49aWZpVHiqwcia&#10;My1pspJFgFBGUPohNym1tlRBEnmQNVkbV++z2vmcuiDXeOjY1GZ/7nP03ZQ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ZyNL1AAAAAYBAAAPAAAAAAAAAAEAIAAAACIAAABkcnMvZG93bnJldi54&#10;bWxQSwECFAAUAAAACACHTuJA/ztViP4BAADtAwAADgAAAAAAAAABACAAAAAjAQAAZHJzL2Uyb0Rv&#10;Yy54bWxQSwUGAAAAAAYABgBZAQAAkwUAAAAA&#10;">
                <v:fill on="f" focussize="0,0"/>
                <v:stroke weight="3.25pt" color="#000000" joinstyle="round"/>
                <v:imagedata o:title=""/>
                <o:lock v:ext="edit" aspectratio="f"/>
              </v:shape>
            </w:pict>
          </mc:Fallback>
        </mc:AlternateConten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color w:val="000000"/>
          <w:sz w:val="32"/>
        </w:rPr>
      </w:pPr>
      <w:r>
        <w:rPr>
          <w:rFonts w:hint="eastAsia" w:ascii="仿宋" w:hAnsi="仿宋" w:eastAsia="仿宋" w:cs="仿宋"/>
          <w:color w:val="000000"/>
          <w:sz w:val="32"/>
          <w:u w:val="none"/>
        </w:rPr>
        <w:t>贵州天德科技有限责任公司</w:t>
      </w:r>
      <w:r>
        <w:rPr>
          <w:rFonts w:hint="eastAsia" w:ascii="仿宋" w:hAnsi="仿宋" w:eastAsia="仿宋" w:cs="仿宋"/>
          <w:color w:val="000000"/>
          <w:sz w:val="32"/>
        </w:rPr>
        <w:t>：（纳税人识别号：</w:t>
      </w:r>
      <w:r>
        <w:rPr>
          <w:rFonts w:hint="eastAsia" w:ascii="仿宋_GB2312" w:hAnsi="仿宋" w:eastAsia="仿宋_GB2312"/>
          <w:sz w:val="32"/>
        </w:rPr>
        <w:t>91520600MA6DN9NB6C</w:t>
      </w:r>
      <w:r>
        <w:rPr>
          <w:rFonts w:hint="eastAsia" w:ascii="仿宋" w:hAnsi="仿宋" w:eastAsia="仿宋" w:cs="仿宋"/>
          <w:color w:val="000000"/>
          <w:sz w:val="32"/>
        </w:rPr>
        <w:t>）</w:t>
      </w:r>
    </w:p>
    <w:p>
      <w:pPr>
        <w:widowControl/>
        <w:spacing w:line="560" w:lineRule="exact"/>
        <w:ind w:firstLine="640" w:firstLineChars="200"/>
        <w:jc w:val="left"/>
        <w:rPr>
          <w:rFonts w:hint="eastAsia" w:ascii="仿宋_GB2312" w:eastAsia="仿宋_GB2312"/>
          <w:color w:val="000000"/>
          <w:sz w:val="32"/>
        </w:rPr>
      </w:pPr>
      <w:r>
        <w:rPr>
          <w:rFonts w:hint="eastAsia" w:ascii="仿宋_GB2312" w:eastAsia="仿宋_GB2312"/>
          <w:color w:val="000000"/>
          <w:sz w:val="32"/>
          <w:u w:val="none"/>
        </w:rPr>
        <w:t>我局于</w:t>
      </w:r>
      <w:r>
        <w:rPr>
          <w:rFonts w:hint="eastAsia" w:ascii="仿宋_GB2312" w:eastAsia="仿宋_GB2312" w:cs="Times New Roman"/>
          <w:sz w:val="32"/>
          <w:szCs w:val="32"/>
          <w:lang w:val="en-US" w:eastAsia="zh-CN"/>
        </w:rPr>
        <w:t>2024年9月10日至2025年1月6日</w:t>
      </w:r>
      <w:r>
        <w:rPr>
          <w:rFonts w:hint="eastAsia" w:ascii="仿宋_GB2312" w:eastAsia="仿宋_GB2312"/>
          <w:color w:val="000000"/>
          <w:sz w:val="32"/>
          <w:u w:val="none"/>
        </w:rPr>
        <w:t>对你</w:t>
      </w:r>
      <w:r>
        <w:rPr>
          <w:rFonts w:hint="eastAsia" w:ascii="仿宋_GB2312" w:eastAsia="仿宋_GB2312"/>
          <w:color w:val="000000"/>
          <w:sz w:val="32"/>
          <w:u w:val="none"/>
          <w:lang w:eastAsia="zh-CN"/>
        </w:rPr>
        <w:t>公司</w:t>
      </w:r>
      <w:r>
        <w:rPr>
          <w:rFonts w:hint="eastAsia" w:ascii="仿宋_GB2312" w:eastAsia="仿宋_GB2312"/>
          <w:color w:val="000000"/>
          <w:sz w:val="32"/>
        </w:rPr>
        <w:t>（地址:</w:t>
      </w:r>
      <w:r>
        <w:rPr>
          <w:rFonts w:hint="eastAsia" w:ascii="仿宋" w:hAnsi="仿宋" w:eastAsia="仿宋" w:cs="仿宋"/>
          <w:color w:val="000000"/>
          <w:sz w:val="32"/>
          <w:u w:val="none"/>
        </w:rPr>
        <w:t>贵州省铜仁市高新技术产业开发区A-20地块</w:t>
      </w:r>
      <w:r>
        <w:rPr>
          <w:rFonts w:hint="eastAsia" w:ascii="仿宋_GB2312" w:eastAsia="仿宋_GB2312"/>
          <w:color w:val="000000"/>
          <w:sz w:val="32"/>
        </w:rPr>
        <w:t>）</w:t>
      </w:r>
      <w:r>
        <w:rPr>
          <w:rFonts w:hint="eastAsia" w:ascii="仿宋_GB2312" w:eastAsia="仿宋_GB2312"/>
          <w:color w:val="000000"/>
          <w:sz w:val="32"/>
          <w:u w:val="single"/>
        </w:rPr>
        <w:t xml:space="preserve"> </w:t>
      </w:r>
      <w:r>
        <w:rPr>
          <w:rFonts w:hint="eastAsia" w:ascii="仿宋_GB2312" w:eastAsia="仿宋_GB2312"/>
          <w:color w:val="000000"/>
          <w:sz w:val="32"/>
          <w:u w:val="none"/>
          <w:lang w:val="en-US" w:eastAsia="zh-CN"/>
        </w:rPr>
        <w:t>2019</w:t>
      </w:r>
      <w:r>
        <w:rPr>
          <w:rFonts w:hint="eastAsia" w:ascii="仿宋_GB2312" w:eastAsia="仿宋_GB2312"/>
          <w:color w:val="000000"/>
          <w:sz w:val="32"/>
          <w:u w:val="none"/>
        </w:rPr>
        <w:t>年</w:t>
      </w:r>
      <w:r>
        <w:rPr>
          <w:rFonts w:hint="eastAsia" w:ascii="仿宋_GB2312" w:eastAsia="仿宋_GB2312"/>
          <w:color w:val="000000"/>
          <w:sz w:val="32"/>
          <w:u w:val="none"/>
          <w:lang w:val="en-US" w:eastAsia="zh-CN"/>
        </w:rPr>
        <w:t>6</w:t>
      </w:r>
      <w:r>
        <w:rPr>
          <w:rFonts w:hint="eastAsia" w:ascii="仿宋_GB2312" w:eastAsia="仿宋_GB2312"/>
          <w:color w:val="000000"/>
          <w:sz w:val="32"/>
          <w:u w:val="none"/>
        </w:rPr>
        <w:t>月</w:t>
      </w:r>
      <w:r>
        <w:rPr>
          <w:rFonts w:hint="eastAsia" w:ascii="仿宋_GB2312" w:eastAsia="仿宋_GB2312"/>
          <w:color w:val="000000"/>
          <w:sz w:val="32"/>
          <w:u w:val="none"/>
          <w:lang w:val="en-US" w:eastAsia="zh-CN"/>
        </w:rPr>
        <w:t>1</w:t>
      </w:r>
      <w:r>
        <w:rPr>
          <w:rFonts w:hint="eastAsia" w:ascii="仿宋_GB2312" w:eastAsia="仿宋_GB2312"/>
          <w:color w:val="000000"/>
          <w:sz w:val="32"/>
          <w:u w:val="none"/>
        </w:rPr>
        <w:t>日至</w:t>
      </w:r>
      <w:r>
        <w:rPr>
          <w:rFonts w:hint="eastAsia" w:ascii="仿宋_GB2312" w:eastAsia="仿宋_GB2312"/>
          <w:color w:val="000000"/>
          <w:sz w:val="32"/>
          <w:u w:val="none"/>
          <w:lang w:val="en-US" w:eastAsia="zh-CN"/>
        </w:rPr>
        <w:t>2019</w:t>
      </w:r>
      <w:r>
        <w:rPr>
          <w:rFonts w:hint="eastAsia" w:ascii="仿宋_GB2312" w:eastAsia="仿宋_GB2312"/>
          <w:color w:val="000000"/>
          <w:sz w:val="32"/>
          <w:u w:val="none"/>
        </w:rPr>
        <w:t>年</w:t>
      </w:r>
      <w:r>
        <w:rPr>
          <w:rFonts w:hint="eastAsia" w:ascii="宋体" w:hAnsi="宋体" w:eastAsia="仿宋_GB2312" w:cs="宋体"/>
          <w:b w:val="0"/>
          <w:bCs w:val="0"/>
          <w:color w:val="000000"/>
          <w:sz w:val="32"/>
          <w:u w:val="none"/>
          <w:lang w:val="en-US" w:eastAsia="zh-CN"/>
        </w:rPr>
        <w:t>6</w:t>
      </w:r>
      <w:r>
        <w:rPr>
          <w:rFonts w:hint="eastAsia" w:ascii="仿宋_GB2312" w:eastAsia="仿宋_GB2312"/>
          <w:color w:val="000000"/>
          <w:sz w:val="32"/>
          <w:u w:val="none"/>
        </w:rPr>
        <w:t>月</w:t>
      </w:r>
      <w:r>
        <w:rPr>
          <w:rFonts w:hint="eastAsia" w:ascii="仿宋_GB2312" w:eastAsia="仿宋_GB2312"/>
          <w:color w:val="000000"/>
          <w:sz w:val="32"/>
          <w:u w:val="none"/>
          <w:lang w:val="en-US" w:eastAsia="zh-CN"/>
        </w:rPr>
        <w:t>30</w:t>
      </w:r>
      <w:r>
        <w:rPr>
          <w:rFonts w:hint="eastAsia" w:ascii="仿宋_GB2312" w:eastAsia="仿宋_GB2312"/>
          <w:color w:val="000000"/>
          <w:sz w:val="32"/>
          <w:u w:val="none"/>
        </w:rPr>
        <w:t>日</w:t>
      </w:r>
      <w:r>
        <w:rPr>
          <w:rFonts w:hint="eastAsia" w:ascii="仿宋_GB2312" w:eastAsia="仿宋_GB2312"/>
          <w:color w:val="000000"/>
          <w:sz w:val="32"/>
          <w:u w:val="none"/>
          <w:lang w:eastAsia="zh-CN"/>
        </w:rPr>
        <w:t>期间的涉税发票</w:t>
      </w:r>
      <w:r>
        <w:rPr>
          <w:rFonts w:hint="eastAsia" w:ascii="仿宋_GB2312" w:eastAsia="仿宋_GB2312"/>
          <w:color w:val="000000"/>
          <w:sz w:val="32"/>
        </w:rPr>
        <w:t>情况进行了检查，违法事实及处理决定如下：</w:t>
      </w:r>
    </w:p>
    <w:p>
      <w:pPr>
        <w:widowControl/>
        <w:spacing w:line="560" w:lineRule="exact"/>
        <w:ind w:firstLine="640" w:firstLineChars="200"/>
        <w:jc w:val="left"/>
        <w:rPr>
          <w:rFonts w:hint="eastAsia" w:ascii="黑体" w:hAnsi="黑体" w:eastAsia="黑体"/>
          <w:color w:val="000000"/>
          <w:sz w:val="32"/>
        </w:rPr>
      </w:pPr>
      <w:r>
        <w:rPr>
          <w:rFonts w:hint="eastAsia" w:ascii="黑体" w:hAnsi="黑体" w:eastAsia="黑体"/>
          <w:color w:val="000000"/>
          <w:sz w:val="32"/>
        </w:rPr>
        <w:t>一、违法事实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rPr>
      </w:pPr>
      <w:r>
        <w:rPr>
          <w:rFonts w:hint="eastAsia" w:ascii="楷体" w:hAnsi="楷体" w:eastAsia="楷体" w:cs="楷体"/>
          <w:color w:val="000000"/>
          <w:sz w:val="32"/>
        </w:rPr>
        <w:t>（</w:t>
      </w:r>
      <w:r>
        <w:rPr>
          <w:rFonts w:hint="eastAsia" w:ascii="楷体" w:hAnsi="楷体" w:eastAsia="楷体" w:cs="楷体"/>
          <w:color w:val="000000"/>
          <w:sz w:val="32"/>
          <w:lang w:eastAsia="zh-CN"/>
        </w:rPr>
        <w:t>一</w:t>
      </w:r>
      <w:r>
        <w:rPr>
          <w:rFonts w:hint="eastAsia" w:ascii="楷体" w:hAnsi="楷体" w:eastAsia="楷体" w:cs="楷体"/>
          <w:color w:val="000000"/>
          <w:sz w:val="32"/>
        </w:rPr>
        <w:t>）虚开增值税专用发票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你公司于2019年6月分五次向重庆市某新材料有限公司（以下简称“新材料公司”）转账共计10,102,635.70元；新材料公司于2019年6月4日向你公司转账2,000,000</w:t>
      </w:r>
      <w:r>
        <w:rPr>
          <w:rFonts w:hint="eastAsia" w:ascii="仿宋" w:hAnsi="仿宋" w:eastAsia="仿宋" w:cs="仿宋"/>
          <w:color w:val="000000"/>
          <w:sz w:val="32"/>
          <w:lang w:val="en-US" w:eastAsia="zh-CN"/>
        </w:rPr>
        <w:t>.00</w:t>
      </w:r>
      <w:r>
        <w:rPr>
          <w:rFonts w:hint="eastAsia" w:ascii="仿宋" w:hAnsi="仿宋" w:eastAsia="仿宋" w:cs="仿宋"/>
          <w:color w:val="000000"/>
          <w:sz w:val="32"/>
          <w:lang w:eastAsia="zh-CN"/>
        </w:rPr>
        <w:t>元；新材料公司负责人黄某波于2019年6月陆续通过其个人账户向你公司财务负责人周某妍个人账户转账4</w:t>
      </w:r>
      <w:r>
        <w:rPr>
          <w:rFonts w:hint="eastAsia" w:ascii="仿宋" w:hAnsi="仿宋" w:eastAsia="仿宋" w:cs="仿宋"/>
          <w:color w:val="000000"/>
          <w:sz w:val="32"/>
          <w:lang w:val="en-US" w:eastAsia="zh-CN"/>
        </w:rPr>
        <w:t>,</w:t>
      </w:r>
      <w:r>
        <w:rPr>
          <w:rFonts w:hint="eastAsia" w:ascii="仿宋" w:hAnsi="仿宋" w:eastAsia="仿宋" w:cs="仿宋"/>
          <w:color w:val="000000"/>
          <w:sz w:val="32"/>
          <w:lang w:eastAsia="zh-CN"/>
        </w:rPr>
        <w:t>881</w:t>
      </w:r>
      <w:r>
        <w:rPr>
          <w:rFonts w:hint="eastAsia" w:ascii="仿宋" w:hAnsi="仿宋" w:eastAsia="仿宋" w:cs="仿宋"/>
          <w:color w:val="000000"/>
          <w:sz w:val="32"/>
          <w:lang w:val="en-US" w:eastAsia="zh-CN"/>
        </w:rPr>
        <w:t>,</w:t>
      </w:r>
      <w:r>
        <w:rPr>
          <w:rFonts w:hint="eastAsia" w:ascii="仿宋" w:hAnsi="仿宋" w:eastAsia="仿宋" w:cs="仿宋"/>
          <w:color w:val="000000"/>
          <w:sz w:val="32"/>
          <w:lang w:eastAsia="zh-CN"/>
        </w:rPr>
        <w:t>887</w:t>
      </w:r>
      <w:r>
        <w:rPr>
          <w:rFonts w:hint="eastAsia" w:ascii="仿宋" w:hAnsi="仿宋" w:eastAsia="仿宋" w:cs="仿宋"/>
          <w:color w:val="000000"/>
          <w:sz w:val="32"/>
          <w:lang w:val="en-US" w:eastAsia="zh-CN"/>
        </w:rPr>
        <w:t>.00</w:t>
      </w:r>
      <w:r>
        <w:rPr>
          <w:rFonts w:hint="eastAsia" w:ascii="仿宋" w:hAnsi="仿宋" w:eastAsia="仿宋" w:cs="仿宋"/>
          <w:color w:val="000000"/>
          <w:sz w:val="32"/>
          <w:lang w:eastAsia="zh-CN"/>
        </w:rPr>
        <w:t>元,2019年6月17日周某妍通过其个人账户向黄某波转账78,650</w:t>
      </w:r>
      <w:r>
        <w:rPr>
          <w:rFonts w:hint="eastAsia" w:ascii="仿宋" w:hAnsi="仿宋" w:eastAsia="仿宋" w:cs="仿宋"/>
          <w:color w:val="000000"/>
          <w:sz w:val="32"/>
          <w:lang w:val="en-US" w:eastAsia="zh-CN"/>
        </w:rPr>
        <w:t>.00</w:t>
      </w:r>
      <w:r>
        <w:rPr>
          <w:rFonts w:hint="eastAsia" w:ascii="仿宋" w:hAnsi="仿宋" w:eastAsia="仿宋" w:cs="仿宋"/>
          <w:color w:val="000000"/>
          <w:sz w:val="32"/>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根据重庆市税务局第二稽查局发来的协查文书得知，新材料公司购进的大部分原材料实际并未投入生产，存在购销不匹配，向下游大量虚开增值税专用发票等情况。新材料公司实际负责人黄某波在公安局的讯问笔录中承认新材料公司2019年6月向你公司开具的76份增值税专用发票（发票代码：5000191130，开票日期：2019年6月6日、发票号码：07135138-07135161、05747841-05747866，开票日期：2019年6月12日、发票号码：05748020- 05748044，开票日期：2019年6月12日、发票号码：05748026，货物名称：有色金属*合金圆棒，发票金额：7,170,474.24元，税额：932,161.46元,价税合计：8,102,635.70元），完全没有真实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经查询发票电子抵账系统，你公司2019年均未取得货物运输相关的配套运输发票。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你公司在没有真实货物交易的情况下，让他人为自己虚开上述76份增值税专用发票，违反了《中华人民共和国发票管理办法》（2019年修订版）第二十二条第二款第二项之规定，属于虚开增值税专用发票。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000000"/>
          <w:sz w:val="32"/>
          <w:lang w:val="en-US" w:eastAsia="zh-CN"/>
        </w:rPr>
      </w:pPr>
      <w:r>
        <w:rPr>
          <w:rFonts w:hint="eastAsia" w:ascii="楷体" w:hAnsi="楷体" w:eastAsia="楷体" w:cs="楷体"/>
          <w:color w:val="000000"/>
          <w:sz w:val="32"/>
          <w:lang w:val="en-US" w:eastAsia="zh-CN"/>
        </w:rPr>
        <w:t>(二）偷税</w:t>
      </w:r>
    </w:p>
    <w:p>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color w:val="auto"/>
          <w:sz w:val="32"/>
          <w:szCs w:val="32"/>
          <w:lang w:eastAsia="zh-CN"/>
        </w:rPr>
        <w:t>你公司将取得的上述</w:t>
      </w:r>
      <w:r>
        <w:rPr>
          <w:rFonts w:hint="eastAsia" w:ascii="仿宋_GB2312" w:hAnsi="Times New Roman" w:eastAsia="仿宋_GB2312" w:cs="Times New Roman"/>
          <w:color w:val="auto"/>
          <w:sz w:val="32"/>
          <w:szCs w:val="32"/>
          <w:lang w:val="en-US" w:eastAsia="zh-CN"/>
        </w:rPr>
        <w:t>76份</w:t>
      </w:r>
      <w:r>
        <w:rPr>
          <w:rFonts w:hint="eastAsia" w:ascii="仿宋_GB2312" w:eastAsia="仿宋_GB2312" w:cs="Times New Roman"/>
          <w:color w:val="auto"/>
          <w:sz w:val="32"/>
          <w:szCs w:val="32"/>
          <w:lang w:val="en-US" w:eastAsia="zh-CN"/>
        </w:rPr>
        <w:t>发票于2019年7月11日勾选认证，</w:t>
      </w:r>
      <w:r>
        <w:rPr>
          <w:rFonts w:hint="eastAsia" w:ascii="仿宋_GB2312" w:hAnsi="Times New Roman" w:eastAsia="仿宋_GB2312" w:cs="Times New Roman"/>
          <w:color w:val="auto"/>
          <w:sz w:val="32"/>
          <w:szCs w:val="32"/>
          <w:lang w:eastAsia="zh-CN"/>
        </w:rPr>
        <w:t>抵扣</w:t>
      </w:r>
      <w:r>
        <w:rPr>
          <w:rFonts w:hint="eastAsia" w:ascii="仿宋_GB2312" w:eastAsia="仿宋_GB2312" w:cs="Times New Roman"/>
          <w:color w:val="auto"/>
          <w:sz w:val="32"/>
          <w:szCs w:val="32"/>
          <w:lang w:val="en-US" w:eastAsia="zh-CN"/>
        </w:rPr>
        <w:t>2019年6月</w:t>
      </w:r>
      <w:r>
        <w:rPr>
          <w:rFonts w:hint="eastAsia" w:ascii="仿宋_GB2312" w:eastAsia="仿宋_GB2312" w:cs="Times New Roman"/>
          <w:sz w:val="32"/>
          <w:szCs w:val="32"/>
          <w:lang w:val="en-US" w:eastAsia="zh-CN"/>
        </w:rPr>
        <w:t>增值税销项税额932,161.46元。你公司通过虚假申报导致少缴税款的行为，违反了《中华人民共和国税收征收管理法》第六十三条规定，是偷税。</w:t>
      </w:r>
    </w:p>
    <w:p>
      <w:pPr>
        <w:widowControl/>
        <w:spacing w:line="560" w:lineRule="exact"/>
        <w:ind w:firstLine="640" w:firstLineChars="200"/>
        <w:jc w:val="left"/>
        <w:rPr>
          <w:rFonts w:hint="eastAsia" w:ascii="黑体" w:hAnsi="黑体" w:eastAsia="黑体"/>
          <w:color w:val="000000"/>
          <w:sz w:val="32"/>
        </w:rPr>
      </w:pPr>
      <w:r>
        <w:rPr>
          <w:rFonts w:hint="eastAsia" w:ascii="黑体" w:hAnsi="黑体" w:eastAsia="黑体"/>
          <w:color w:val="000000"/>
          <w:sz w:val="32"/>
        </w:rPr>
        <w:t>二、处理决定及依据</w:t>
      </w:r>
    </w:p>
    <w:p>
      <w:pPr>
        <w:keepNext w:val="0"/>
        <w:keepLines w:val="0"/>
        <w:pageBreakBefore w:val="0"/>
        <w:widowControl w:val="0"/>
        <w:tabs>
          <w:tab w:val="left" w:pos="720"/>
        </w:tabs>
        <w:kinsoku/>
        <w:wordWrap w:val="0"/>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000000"/>
          <w:sz w:val="32"/>
        </w:rPr>
        <w:t>（一）</w:t>
      </w:r>
      <w:r>
        <w:rPr>
          <w:rFonts w:hint="eastAsia" w:ascii="楷体" w:hAnsi="楷体" w:eastAsia="楷体" w:cs="楷体"/>
          <w:color w:val="auto"/>
          <w:sz w:val="32"/>
          <w:szCs w:val="32"/>
          <w:lang w:val="en-US" w:eastAsia="zh-CN"/>
        </w:rPr>
        <w:t>追缴税费1,044,020.83元</w:t>
      </w:r>
    </w:p>
    <w:p>
      <w:pPr>
        <w:widowControl/>
        <w:spacing w:line="560" w:lineRule="exact"/>
        <w:ind w:firstLine="640" w:firstLineChars="200"/>
        <w:jc w:val="left"/>
        <w:rPr>
          <w:rFonts w:hint="eastAsia" w:ascii="仿宋_GB2312" w:eastAsia="仿宋_GB2312"/>
          <w:color w:val="000000"/>
          <w:sz w:val="32"/>
        </w:rPr>
      </w:pPr>
      <w:r>
        <w:rPr>
          <w:rFonts w:hint="eastAsia" w:ascii="仿宋_GB2312" w:eastAsia="仿宋_GB2312"/>
          <w:color w:val="000000"/>
          <w:sz w:val="32"/>
        </w:rPr>
        <w:t>根据《中华人民共和国税收征收管理法》第六十三条之规定，追缴</w:t>
      </w:r>
      <w:r>
        <w:rPr>
          <w:rFonts w:hint="eastAsia" w:ascii="仿宋_GB2312" w:eastAsia="仿宋_GB2312"/>
          <w:color w:val="000000"/>
          <w:sz w:val="32"/>
          <w:lang w:eastAsia="zh-CN"/>
        </w:rPr>
        <w:t>你</w:t>
      </w:r>
      <w:r>
        <w:rPr>
          <w:rFonts w:hint="eastAsia" w:ascii="仿宋_GB2312" w:eastAsia="仿宋_GB2312"/>
          <w:color w:val="000000"/>
          <w:sz w:val="32"/>
        </w:rPr>
        <w:t>公司虚假申报导致少缴的增值税932,161.46元、城市维护建设税65,251.30元。</w:t>
      </w:r>
    </w:p>
    <w:p>
      <w:pPr>
        <w:widowControl/>
        <w:spacing w:line="560" w:lineRule="exact"/>
        <w:ind w:firstLine="640" w:firstLineChars="200"/>
        <w:jc w:val="left"/>
        <w:rPr>
          <w:rFonts w:hint="eastAsia" w:ascii="仿宋_GB2312" w:eastAsia="仿宋_GB2312"/>
          <w:color w:val="000000"/>
          <w:sz w:val="32"/>
        </w:rPr>
      </w:pPr>
      <w:r>
        <w:rPr>
          <w:rFonts w:hint="eastAsia" w:ascii="仿宋_GB2312" w:eastAsia="仿宋_GB2312"/>
          <w:color w:val="000000"/>
          <w:sz w:val="32"/>
        </w:rPr>
        <w:t>根据《征收教育费附加的暂行规定》第二、三条规定和《贵州省教育经费筹措管理办法》第七条、第九条、第十四条之规定，追缴教育费附加 27,964.84 元、地方教育附加 18,643.23元。</w:t>
      </w:r>
    </w:p>
    <w:p>
      <w:pPr>
        <w:keepNext w:val="0"/>
        <w:keepLines w:val="0"/>
        <w:pageBreakBefore w:val="0"/>
        <w:widowControl w:val="0"/>
        <w:tabs>
          <w:tab w:val="left" w:pos="720"/>
        </w:tabs>
        <w:kinsoku/>
        <w:wordWrap w:val="0"/>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color w:val="000000"/>
          <w:sz w:val="32"/>
        </w:rPr>
      </w:pPr>
      <w:r>
        <w:rPr>
          <w:rFonts w:hint="eastAsia" w:ascii="楷体" w:hAnsi="楷体" w:eastAsia="楷体" w:cs="楷体"/>
          <w:color w:val="000000"/>
          <w:sz w:val="32"/>
        </w:rPr>
        <w:t>（二）</w:t>
      </w:r>
      <w:r>
        <w:rPr>
          <w:rFonts w:hint="default" w:ascii="楷体" w:hAnsi="楷体" w:eastAsia="楷体" w:cs="楷体"/>
          <w:color w:val="000000"/>
          <w:sz w:val="32"/>
          <w:lang w:val="en-US" w:eastAsia="zh-CN"/>
        </w:rPr>
        <w:t>加收滞纳金</w:t>
      </w:r>
    </w:p>
    <w:p>
      <w:pPr>
        <w:widowControl/>
        <w:spacing w:line="560" w:lineRule="exact"/>
        <w:ind w:firstLine="640" w:firstLineChars="200"/>
        <w:jc w:val="left"/>
        <w:rPr>
          <w:rFonts w:hint="eastAsia" w:ascii="仿宋_GB2312" w:eastAsia="仿宋_GB2312"/>
          <w:color w:val="000000"/>
          <w:sz w:val="32"/>
        </w:rPr>
      </w:pPr>
      <w:r>
        <w:rPr>
          <w:rFonts w:hint="eastAsia" w:ascii="仿宋_GB2312" w:eastAsia="仿宋_GB2312"/>
          <w:color w:val="000000"/>
          <w:sz w:val="32"/>
        </w:rPr>
        <w:t>根据《中华人民共和国税收征收管理法》第三十二条、《中华人民共和国税收征收管理法实施细则》七十五条、《贵州省教育经费筹措管理办法》第十四条规定，对少缴的增值税、城市维护建设税、教育费附加、地方教育附加，从滞纳之日起按日加收万分之五的滞纳金，截止到缴纳或解缴税费之日止。</w:t>
      </w:r>
    </w:p>
    <w:p>
      <w:pPr>
        <w:widowControl/>
        <w:spacing w:line="560" w:lineRule="exact"/>
        <w:ind w:firstLine="640" w:firstLineChars="200"/>
        <w:jc w:val="left"/>
        <w:rPr>
          <w:rFonts w:hint="eastAsia" w:ascii="仿宋_GB2312" w:eastAsia="仿宋_GB2312"/>
          <w:color w:val="000000"/>
          <w:sz w:val="32"/>
        </w:rPr>
      </w:pPr>
      <w:r>
        <w:rPr>
          <w:rFonts w:hint="eastAsia" w:ascii="仿宋_GB2312" w:eastAsia="仿宋_GB2312"/>
          <w:color w:val="000000"/>
          <w:sz w:val="32"/>
        </w:rPr>
        <w:t>限你</w:t>
      </w:r>
      <w:r>
        <w:rPr>
          <w:rFonts w:hint="eastAsia" w:ascii="仿宋_GB2312" w:eastAsia="仿宋_GB2312"/>
          <w:color w:val="000000"/>
          <w:sz w:val="32"/>
          <w:lang w:eastAsia="zh-CN"/>
        </w:rPr>
        <w:t>公司</w:t>
      </w:r>
      <w:r>
        <w:rPr>
          <w:rFonts w:hint="eastAsia" w:ascii="仿宋_GB2312" w:eastAsia="仿宋_GB2312"/>
          <w:color w:val="000000"/>
          <w:sz w:val="32"/>
        </w:rPr>
        <w:t>自收到本决定书之日起</w:t>
      </w:r>
      <w:r>
        <w:rPr>
          <w:rFonts w:hint="eastAsia" w:ascii="仿宋_GB2312" w:eastAsia="仿宋_GB2312"/>
          <w:color w:val="000000"/>
          <w:sz w:val="32"/>
          <w:u w:val="none"/>
          <w:lang w:val="en-US" w:eastAsia="zh-CN"/>
        </w:rPr>
        <w:t>15</w:t>
      </w:r>
      <w:r>
        <w:rPr>
          <w:rFonts w:hint="eastAsia" w:ascii="仿宋_GB2312" w:eastAsia="仿宋_GB2312"/>
          <w:color w:val="000000"/>
          <w:sz w:val="32"/>
          <w:u w:val="none"/>
        </w:rPr>
        <w:t>日</w:t>
      </w:r>
      <w:r>
        <w:rPr>
          <w:rFonts w:hint="eastAsia" w:ascii="仿宋_GB2312" w:eastAsia="仿宋_GB2312"/>
          <w:color w:val="000000"/>
          <w:sz w:val="32"/>
        </w:rPr>
        <w:t>内到</w:t>
      </w:r>
      <w:r>
        <w:rPr>
          <w:rFonts w:hint="eastAsia" w:ascii="仿宋" w:hAnsi="仿宋" w:eastAsia="仿宋" w:cs="仿宋"/>
          <w:color w:val="000000"/>
          <w:sz w:val="32"/>
        </w:rPr>
        <w:t>国家税务总局贵州铜仁高新技术产业开发区税务局</w:t>
      </w:r>
      <w:r>
        <w:rPr>
          <w:rFonts w:hint="eastAsia" w:ascii="仿宋_GB2312" w:eastAsia="仿宋_GB2312"/>
          <w:color w:val="000000"/>
          <w:sz w:val="32"/>
        </w:rPr>
        <w:t>将上述税款及滞纳金缴纳入库，并按照规定进行相关账务调整。逾期未缴清的，将依照《中华人民共和国税收征收管理法》第四十条规定强制执行。</w:t>
      </w:r>
    </w:p>
    <w:p>
      <w:pPr>
        <w:spacing w:line="560" w:lineRule="exact"/>
        <w:ind w:firstLine="640" w:firstLineChars="200"/>
        <w:rPr>
          <w:rFonts w:hint="eastAsia"/>
          <w:color w:val="000000"/>
        </w:rPr>
      </w:pPr>
      <w:r>
        <w:rPr>
          <w:rFonts w:hint="eastAsia" w:ascii="仿宋_GB2312" w:eastAsia="仿宋_GB2312"/>
          <w:color w:val="000000"/>
          <w:sz w:val="32"/>
        </w:rPr>
        <w:t>你</w:t>
      </w:r>
      <w:r>
        <w:rPr>
          <w:rFonts w:hint="eastAsia" w:ascii="仿宋_GB2312" w:eastAsia="仿宋_GB2312"/>
          <w:color w:val="000000"/>
          <w:sz w:val="32"/>
          <w:lang w:eastAsia="zh-CN"/>
        </w:rPr>
        <w:t>公司</w:t>
      </w:r>
      <w:r>
        <w:rPr>
          <w:rFonts w:hint="eastAsia" w:ascii="仿宋_GB2312" w:eastAsia="仿宋_GB2312"/>
          <w:color w:val="000000"/>
          <w:sz w:val="32"/>
        </w:rPr>
        <w:t>若同我局在纳税上有争议，必须先依照本决定的期限缴纳税款及滞纳金或者提供相应的担保，然后可自上述款项缴清或者提供相应担保被税务机关确认之日起六十日内依法向</w:t>
      </w:r>
      <w:r>
        <w:rPr>
          <w:rFonts w:hint="eastAsia" w:ascii="仿宋" w:hAnsi="仿宋" w:eastAsia="仿宋" w:cs="仿宋"/>
          <w:color w:val="000000"/>
          <w:sz w:val="32"/>
        </w:rPr>
        <w:t>国家税务总局铜仁市税务局</w:t>
      </w:r>
      <w:r>
        <w:rPr>
          <w:rFonts w:hint="eastAsia" w:ascii="仿宋_GB2312" w:eastAsia="仿宋_GB2312"/>
          <w:color w:val="000000"/>
          <w:sz w:val="32"/>
        </w:rPr>
        <w:t xml:space="preserve">申请行政复议。  </w:t>
      </w:r>
      <w:r>
        <w:rPr>
          <w:rFonts w:hint="eastAsia"/>
          <w:color w:val="000000"/>
        </w:rPr>
        <w:t xml:space="preserve">                                  </w:t>
      </w:r>
    </w:p>
    <w:p>
      <w:pPr>
        <w:spacing w:line="560" w:lineRule="exact"/>
        <w:rPr>
          <w:rFonts w:hint="eastAsia"/>
          <w:color w:val="000000"/>
        </w:rPr>
      </w:pPr>
    </w:p>
    <w:p>
      <w:pPr>
        <w:widowControl/>
        <w:spacing w:line="560" w:lineRule="exact"/>
        <w:ind w:firstLine="640" w:firstLineChars="200"/>
        <w:jc w:val="left"/>
        <w:rPr>
          <w:rFonts w:hint="eastAsia" w:ascii="仿宋_GB2312" w:eastAsia="仿宋_GB2312"/>
          <w:color w:val="000000"/>
          <w:sz w:val="32"/>
        </w:rPr>
      </w:pPr>
    </w:p>
    <w:p>
      <w:pPr>
        <w:widowControl/>
        <w:spacing w:line="560" w:lineRule="exact"/>
        <w:ind w:firstLine="640" w:firstLineChars="200"/>
        <w:jc w:val="left"/>
        <w:rPr>
          <w:rFonts w:hint="eastAsia" w:ascii="仿宋_GB2312" w:eastAsia="仿宋_GB2312"/>
          <w:color w:val="000000"/>
          <w:sz w:val="32"/>
        </w:rPr>
      </w:pPr>
    </w:p>
    <w:p>
      <w:pPr>
        <w:spacing w:line="560" w:lineRule="exact"/>
        <w:ind w:firstLine="303"/>
        <w:jc w:val="right"/>
        <w:rPr>
          <w:rFonts w:hint="eastAsia" w:ascii="仿宋_GB2312" w:eastAsia="仿宋_GB2312"/>
          <w:color w:val="000000"/>
          <w:sz w:val="32"/>
        </w:rPr>
      </w:pPr>
      <w:r>
        <w:rPr>
          <w:rFonts w:hint="eastAsia" w:ascii="仿宋_GB2312" w:eastAsia="仿宋_GB2312"/>
          <w:color w:val="000000"/>
          <w:sz w:val="32"/>
        </w:rPr>
        <w:t>二○二</w:t>
      </w:r>
      <w:r>
        <w:rPr>
          <w:rFonts w:hint="eastAsia" w:ascii="仿宋_GB2312" w:eastAsia="仿宋_GB2312"/>
          <w:color w:val="000000"/>
          <w:sz w:val="32"/>
          <w:lang w:eastAsia="zh-CN"/>
        </w:rPr>
        <w:t>五</w:t>
      </w:r>
      <w:r>
        <w:rPr>
          <w:rFonts w:hint="eastAsia" w:ascii="仿宋_GB2312" w:eastAsia="仿宋_GB2312"/>
          <w:color w:val="000000"/>
          <w:sz w:val="32"/>
        </w:rPr>
        <w:t>年</w:t>
      </w:r>
      <w:r>
        <w:rPr>
          <w:rFonts w:hint="eastAsia" w:ascii="仿宋_GB2312" w:eastAsia="仿宋_GB2312"/>
          <w:color w:val="000000"/>
          <w:sz w:val="32"/>
          <w:lang w:eastAsia="zh-CN"/>
        </w:rPr>
        <w:t>三</w:t>
      </w:r>
      <w:r>
        <w:rPr>
          <w:rFonts w:hint="eastAsia" w:ascii="仿宋_GB2312" w:eastAsia="仿宋_GB2312"/>
          <w:color w:val="000000"/>
          <w:sz w:val="32"/>
        </w:rPr>
        <w:t>月</w:t>
      </w:r>
      <w:r>
        <w:rPr>
          <w:rFonts w:hint="eastAsia" w:ascii="仿宋_GB2312" w:eastAsia="仿宋_GB2312"/>
          <w:color w:val="000000"/>
          <w:sz w:val="32"/>
          <w:lang w:eastAsia="zh-CN"/>
        </w:rPr>
        <w:t>十九</w:t>
      </w:r>
      <w:r>
        <w:rPr>
          <w:rFonts w:hint="eastAsia" w:ascii="仿宋_GB2312" w:eastAsia="仿宋_GB2312"/>
          <w:color w:val="000000"/>
          <w:sz w:val="32"/>
        </w:rPr>
        <w:t xml:space="preserve">日     </w:t>
      </w:r>
      <w:r>
        <w:rPr>
          <w:rFonts w:ascii="仿宋_GB2312" w:eastAsia="仿宋_GB2312"/>
          <w:color w:val="000000"/>
          <w:sz w:val="32"/>
        </w:rPr>
        <w:t xml:space="preserve"> </w:t>
      </w:r>
    </w:p>
    <w:p>
      <w:pPr>
        <w:spacing w:line="360" w:lineRule="auto"/>
        <w:ind w:firstLine="548"/>
        <w:jc w:val="center"/>
        <w:rPr>
          <w:rFonts w:ascii="宋体" w:hAnsi="宋体"/>
          <w:color w:val="000000"/>
          <w:sz w:val="44"/>
        </w:rPr>
      </w:pPr>
    </w:p>
    <w:p>
      <w:bookmarkStart w:id="0" w:name="_GoBack"/>
      <w:bookmarkEnd w:id="0"/>
      <w:r>
        <w:rPr>
          <w:rFonts w:hint="eastAsia" w:ascii="楷体_GB2312" w:hAnsi="楷体_GB2312" w:eastAsia="楷体_GB2312" w:cs="楷体_GB2312"/>
          <w:sz w:val="28"/>
          <w:szCs w:val="36"/>
          <w:lang w:val="en-US" w:eastAsia="zh-CN"/>
        </w:rPr>
        <w:drawing>
          <wp:anchor distT="0" distB="0" distL="114300" distR="114300" simplePos="0" relativeHeight="251662336" behindDoc="0" locked="0" layoutInCell="1" allowOverlap="1">
            <wp:simplePos x="0" y="0"/>
            <wp:positionH relativeFrom="column">
              <wp:posOffset>1057910</wp:posOffset>
            </wp:positionH>
            <wp:positionV relativeFrom="paragraph">
              <wp:posOffset>702945</wp:posOffset>
            </wp:positionV>
            <wp:extent cx="4238625" cy="1314450"/>
            <wp:effectExtent l="0" t="0" r="9525" b="0"/>
            <wp:wrapSquare wrapText="bothSides"/>
            <wp:docPr id="3" name="图片 2" descr="WXWorklocal_17255226634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XWorklocal_17255226634465"/>
                    <pic:cNvPicPr>
                      <a:picLocks noChangeAspect="1"/>
                    </pic:cNvPicPr>
                  </pic:nvPicPr>
                  <pic:blipFill>
                    <a:blip r:embed="rId5"/>
                    <a:stretch>
                      <a:fillRect/>
                    </a:stretch>
                  </pic:blipFill>
                  <pic:spPr>
                    <a:xfrm>
                      <a:off x="0" y="0"/>
                      <a:ext cx="4238625" cy="1314450"/>
                    </a:xfrm>
                    <a:prstGeom prst="rect">
                      <a:avLst/>
                    </a:prstGeom>
                    <a:noFill/>
                    <a:ln>
                      <a:noFill/>
                    </a:ln>
                  </pic:spPr>
                </pic:pic>
              </a:graphicData>
            </a:graphic>
          </wp:anchor>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E76CC"/>
    <w:rsid w:val="058E695F"/>
    <w:rsid w:val="11715C9B"/>
    <w:rsid w:val="2B736465"/>
    <w:rsid w:val="2E091C25"/>
    <w:rsid w:val="2E5F12EF"/>
    <w:rsid w:val="38D95979"/>
    <w:rsid w:val="500D5CCD"/>
    <w:rsid w:val="64052C01"/>
    <w:rsid w:val="67EE76CC"/>
    <w:rsid w:val="683F54D7"/>
    <w:rsid w:val="6A1A202E"/>
    <w:rsid w:val="7A822A7B"/>
    <w:rsid w:val="7B8B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华文中宋"/>
      <w:bCs/>
      <w:kern w:val="44"/>
      <w:sz w:val="7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Calibri" w:hAnsi="Calibri" w:eastAsia="楷体_GB2312" w:cs="Times New Roman"/>
      <w:sz w:val="36"/>
      <w:szCs w:val="36"/>
    </w:r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bw1"/>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2024-07-22T07:43:00Z</dcterms:created>
  <dc:creator>杨璐瑶</dc:creator>
  <cp:lastModifiedBy>杨璐瑶</cp:lastModifiedBy>
  <dcterms:modified xsi:type="dcterms:W3CDTF">2025-04-15T01:14:47Z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