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8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国家税务总局罗甸县税务局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8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default"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2023</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年</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政府信息公开工作年度报告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根据《中华人民共和国政府信息公开条例》</w:t>
      </w:r>
      <w:r>
        <w:rPr>
          <w:rFonts w:hint="eastAsia" w:ascii="Times New Roman" w:hAnsi="Times New Roman" w:eastAsia="仿宋_GB2312" w:cs="Times New Roman"/>
          <w:color w:val="auto"/>
          <w:sz w:val="32"/>
          <w:szCs w:val="32"/>
          <w:lang w:eastAsia="zh-CN"/>
        </w:rPr>
        <w:t>（以下简称《条例》）</w:t>
      </w:r>
      <w:r>
        <w:rPr>
          <w:rFonts w:hint="default" w:ascii="Times New Roman" w:hAnsi="Times New Roman" w:eastAsia="仿宋_GB2312" w:cs="Times New Roman"/>
          <w:color w:val="auto"/>
          <w:sz w:val="32"/>
          <w:szCs w:val="32"/>
        </w:rPr>
        <w:t>第五十条规定，制作本报告。</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本报告包括总体情况、主动公开政府信息情况、收到和处理政府信息公开申请情况、政府信息公开行政复议和行政诉讼情况、存在的主要问题及改进情况、其他需要报告的事项等</w:t>
      </w: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val="en-US" w:eastAsia="zh-CN"/>
        </w:rPr>
        <w:t>项内容。除特别说明外，所列数据统计事项为</w:t>
      </w:r>
      <w:r>
        <w:rPr>
          <w:rFonts w:hint="default" w:ascii="Times New Roman" w:hAnsi="Times New Roman" w:eastAsia="仿宋_GB2312" w:cs="Times New Roman"/>
          <w:color w:val="auto"/>
          <w:sz w:val="32"/>
          <w:szCs w:val="32"/>
          <w:lang w:val="en-US" w:eastAsia="zh-CN"/>
        </w:rPr>
        <w:t>2023</w:t>
      </w:r>
      <w:r>
        <w:rPr>
          <w:rFonts w:hint="eastAsia"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月</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日至</w:t>
      </w:r>
      <w:r>
        <w:rPr>
          <w:rFonts w:hint="default" w:ascii="Times New Roman" w:hAnsi="Times New Roman" w:eastAsia="仿宋_GB2312" w:cs="Times New Roman"/>
          <w:color w:val="auto"/>
          <w:sz w:val="32"/>
          <w:szCs w:val="32"/>
          <w:lang w:val="en-US" w:eastAsia="zh-CN"/>
        </w:rPr>
        <w:t>2023</w:t>
      </w:r>
      <w:r>
        <w:rPr>
          <w:rFonts w:hint="eastAsia"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lang w:val="en-US" w:eastAsia="zh-CN"/>
        </w:rPr>
        <w:t>12</w:t>
      </w:r>
      <w:r>
        <w:rPr>
          <w:rFonts w:hint="eastAsia" w:ascii="Times New Roman" w:hAnsi="Times New Roman" w:eastAsia="仿宋_GB2312" w:cs="Times New Roman"/>
          <w:color w:val="auto"/>
          <w:sz w:val="32"/>
          <w:szCs w:val="32"/>
          <w:lang w:val="en-US" w:eastAsia="zh-CN"/>
        </w:rPr>
        <w:t>月</w:t>
      </w:r>
      <w:r>
        <w:rPr>
          <w:rFonts w:hint="default" w:ascii="Times New Roman" w:hAnsi="Times New Roman" w:eastAsia="仿宋_GB2312" w:cs="Times New Roman"/>
          <w:color w:val="auto"/>
          <w:sz w:val="32"/>
          <w:szCs w:val="32"/>
          <w:lang w:val="en-US" w:eastAsia="zh-CN"/>
        </w:rPr>
        <w:t>31</w:t>
      </w:r>
      <w:r>
        <w:rPr>
          <w:rFonts w:hint="eastAsia" w:ascii="Times New Roman" w:hAnsi="Times New Roman" w:eastAsia="仿宋_GB2312" w:cs="Times New Roman"/>
          <w:color w:val="auto"/>
          <w:sz w:val="32"/>
          <w:szCs w:val="32"/>
          <w:lang w:val="en-US" w:eastAsia="zh-CN"/>
        </w:rPr>
        <w:t>日。报告电子版可在罗甸县人民网政府信息公开专栏下载（www.gzluodian.gov.vn）。公众如需进一步咨询了解相关信息，请与国家税务总局罗甸县税务局联系（地址：贵州省黔南布依族苗族自治州罗甸县斛兴路</w:t>
      </w:r>
      <w:r>
        <w:rPr>
          <w:rFonts w:hint="default" w:ascii="Times New Roman" w:hAnsi="Times New Roman" w:eastAsia="仿宋_GB2312" w:cs="Times New Roman"/>
          <w:color w:val="auto"/>
          <w:sz w:val="32"/>
          <w:szCs w:val="32"/>
          <w:lang w:val="en-US" w:eastAsia="zh-CN"/>
        </w:rPr>
        <w:t>45</w:t>
      </w:r>
      <w:r>
        <w:rPr>
          <w:rFonts w:hint="eastAsia" w:ascii="Times New Roman" w:hAnsi="Times New Roman" w:eastAsia="仿宋_GB2312" w:cs="Times New Roman"/>
          <w:color w:val="auto"/>
          <w:sz w:val="32"/>
          <w:szCs w:val="32"/>
          <w:lang w:val="en-US" w:eastAsia="zh-CN"/>
        </w:rPr>
        <w:t>号，邮编：</w:t>
      </w:r>
      <w:r>
        <w:rPr>
          <w:rFonts w:hint="default" w:ascii="Times New Roman" w:hAnsi="Times New Roman" w:eastAsia="仿宋_GB2312" w:cs="Times New Roman"/>
          <w:color w:val="auto"/>
          <w:sz w:val="32"/>
          <w:szCs w:val="32"/>
          <w:lang w:val="en-US" w:eastAsia="zh-CN"/>
        </w:rPr>
        <w:t>550100</w:t>
      </w:r>
      <w:r>
        <w:rPr>
          <w:rFonts w:hint="eastAsia" w:ascii="Times New Roman" w:hAnsi="Times New Roman" w:eastAsia="仿宋_GB2312" w:cs="Times New Roman"/>
          <w:color w:val="auto"/>
          <w:sz w:val="32"/>
          <w:szCs w:val="32"/>
          <w:lang w:val="en-US" w:eastAsia="zh-CN"/>
        </w:rPr>
        <w:t>，电话：</w:t>
      </w:r>
      <w:r>
        <w:rPr>
          <w:rFonts w:hint="default" w:ascii="Times New Roman" w:hAnsi="Times New Roman" w:eastAsia="仿宋_GB2312" w:cs="Times New Roman"/>
          <w:color w:val="auto"/>
          <w:sz w:val="32"/>
          <w:szCs w:val="32"/>
          <w:lang w:val="en-US" w:eastAsia="zh-CN"/>
        </w:rPr>
        <w:t>0854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4800800</w:t>
      </w:r>
      <w:r>
        <w:rPr>
          <w:rFonts w:hint="eastAsia" w:ascii="Times New Roman" w:hAnsi="Times New Roman" w:eastAsia="仿宋_GB2312" w:cs="Times New Roman"/>
          <w:color w:val="auto"/>
          <w:sz w:val="32"/>
          <w:szCs w:val="32"/>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shd w:val="clear" w:fill="FFFFFF"/>
        </w:rPr>
        <w:t>一、总体情况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国家税务总局罗甸县税务局坚持以习近平新时代中国特色社会主义思想为指导，深入学习贯彻党的二十大精神，在总局、省局、州局和县委县政府的正确领导下，认真落实《条例》</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坚持把公开透明作为税收工作的基本制度，持续提升政务公开和政务服务水平，</w:t>
      </w:r>
      <w:r>
        <w:rPr>
          <w:rFonts w:hint="default" w:ascii="Times New Roman" w:hAnsi="Times New Roman" w:eastAsia="仿宋_GB2312" w:cs="Times New Roman"/>
          <w:color w:val="auto"/>
          <w:sz w:val="32"/>
          <w:szCs w:val="32"/>
        </w:rPr>
        <w:t>保障</w:t>
      </w:r>
      <w:r>
        <w:rPr>
          <w:rFonts w:hint="eastAsia" w:ascii="Times New Roman" w:hAnsi="Times New Roman" w:eastAsia="仿宋_GB2312" w:cs="Times New Roman"/>
          <w:color w:val="auto"/>
          <w:sz w:val="32"/>
          <w:szCs w:val="32"/>
          <w:lang w:eastAsia="zh-CN"/>
        </w:rPr>
        <w:t>了广大纳税人和缴费人</w:t>
      </w:r>
      <w:r>
        <w:rPr>
          <w:rFonts w:hint="default" w:ascii="Times New Roman" w:hAnsi="Times New Roman" w:eastAsia="仿宋_GB2312" w:cs="Times New Roman"/>
          <w:color w:val="auto"/>
          <w:sz w:val="32"/>
          <w:szCs w:val="32"/>
        </w:rPr>
        <w:t>的知情</w:t>
      </w:r>
      <w:r>
        <w:rPr>
          <w:rFonts w:hint="eastAsia" w:ascii="Times New Roman" w:hAnsi="Times New Roman" w:eastAsia="仿宋_GB2312" w:cs="Times New Roman"/>
          <w:color w:val="auto"/>
          <w:sz w:val="32"/>
          <w:szCs w:val="32"/>
          <w:lang w:eastAsia="zh-CN"/>
        </w:rPr>
        <w:t>权</w:t>
      </w:r>
      <w:r>
        <w:rPr>
          <w:rFonts w:hint="default" w:ascii="Times New Roman" w:hAnsi="Times New Roman" w:eastAsia="仿宋_GB2312" w:cs="Times New Roman"/>
          <w:color w:val="auto"/>
          <w:sz w:val="32"/>
          <w:szCs w:val="32"/>
        </w:rPr>
        <w:t>、参与</w:t>
      </w:r>
      <w:r>
        <w:rPr>
          <w:rFonts w:hint="eastAsia" w:ascii="Times New Roman" w:hAnsi="Times New Roman" w:eastAsia="仿宋_GB2312" w:cs="Times New Roman"/>
          <w:color w:val="auto"/>
          <w:sz w:val="32"/>
          <w:szCs w:val="32"/>
          <w:lang w:eastAsia="zh-CN"/>
        </w:rPr>
        <w:t>权</w:t>
      </w:r>
      <w:r>
        <w:rPr>
          <w:rFonts w:hint="default" w:ascii="Times New Roman" w:hAnsi="Times New Roman" w:eastAsia="仿宋_GB2312" w:cs="Times New Roman"/>
          <w:color w:val="auto"/>
          <w:sz w:val="32"/>
          <w:szCs w:val="32"/>
        </w:rPr>
        <w:t>和监督</w:t>
      </w:r>
      <w:r>
        <w:rPr>
          <w:rFonts w:hint="eastAsia" w:ascii="Times New Roman" w:hAnsi="Times New Roman" w:eastAsia="仿宋_GB2312" w:cs="Times New Roman"/>
          <w:color w:val="auto"/>
          <w:sz w:val="32"/>
          <w:szCs w:val="32"/>
          <w:lang w:eastAsia="zh-CN"/>
        </w:rPr>
        <w:t>权</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不断增强人民群众的获得感和满意度。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我局</w:t>
      </w:r>
      <w:r>
        <w:rPr>
          <w:rFonts w:hint="eastAsia" w:ascii="仿宋_GB2312" w:hAnsi="仿宋_GB2312" w:eastAsia="仿宋_GB2312" w:cs="仿宋_GB2312"/>
          <w:color w:val="auto"/>
          <w:sz w:val="32"/>
          <w:szCs w:val="32"/>
          <w:lang w:eastAsia="zh-CN"/>
        </w:rPr>
        <w:t>认真贯彻落实</w:t>
      </w: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sz w:val="32"/>
          <w:szCs w:val="32"/>
          <w:lang w:eastAsia="zh-CN"/>
        </w:rPr>
        <w:t>坚持“公开为常态、不公开为例外”原则，</w:t>
      </w:r>
      <w:r>
        <w:rPr>
          <w:rFonts w:hint="eastAsia" w:ascii="仿宋_GB2312" w:hAnsi="仿宋_GB2312" w:eastAsia="仿宋_GB2312" w:cs="仿宋_GB2312"/>
          <w:color w:val="auto"/>
          <w:sz w:val="32"/>
          <w:szCs w:val="32"/>
        </w:rPr>
        <w:t>紧抓税务工作重点和群众急难</w:t>
      </w:r>
      <w:r>
        <w:rPr>
          <w:rFonts w:hint="eastAsia" w:ascii="仿宋_GB2312" w:hAnsi="仿宋_GB2312" w:eastAsia="仿宋_GB2312" w:cs="仿宋_GB2312"/>
          <w:color w:val="auto"/>
          <w:sz w:val="32"/>
          <w:szCs w:val="32"/>
          <w:lang w:eastAsia="zh-CN"/>
        </w:rPr>
        <w:t>愁</w:t>
      </w:r>
      <w:r>
        <w:rPr>
          <w:rFonts w:hint="eastAsia" w:ascii="仿宋_GB2312" w:hAnsi="仿宋_GB2312" w:eastAsia="仿宋_GB2312" w:cs="仿宋_GB2312"/>
          <w:color w:val="auto"/>
          <w:sz w:val="32"/>
          <w:szCs w:val="32"/>
        </w:rPr>
        <w:t>盼问题，明确纳税服务、</w:t>
      </w:r>
      <w:r>
        <w:rPr>
          <w:rFonts w:hint="eastAsia" w:ascii="仿宋_GB2312" w:hAnsi="仿宋_GB2312" w:eastAsia="仿宋_GB2312" w:cs="仿宋_GB2312"/>
          <w:color w:val="auto"/>
          <w:sz w:val="32"/>
          <w:szCs w:val="32"/>
          <w:lang w:eastAsia="zh-CN"/>
        </w:rPr>
        <w:t>税费</w:t>
      </w:r>
      <w:r>
        <w:rPr>
          <w:rFonts w:hint="eastAsia" w:ascii="仿宋_GB2312" w:hAnsi="仿宋_GB2312" w:eastAsia="仿宋_GB2312" w:cs="仿宋_GB2312"/>
          <w:color w:val="auto"/>
          <w:sz w:val="32"/>
          <w:szCs w:val="32"/>
        </w:rPr>
        <w:t>政策、法律法规等方面的公开内容</w:t>
      </w:r>
      <w:r>
        <w:rPr>
          <w:rFonts w:hint="eastAsia" w:ascii="仿宋_GB2312" w:hAnsi="仿宋_GB2312" w:eastAsia="仿宋_GB2312" w:cs="仿宋_GB2312"/>
          <w:color w:val="auto"/>
          <w:sz w:val="32"/>
          <w:szCs w:val="32"/>
          <w:lang w:eastAsia="zh-CN"/>
        </w:rPr>
        <w:t>，确保</w:t>
      </w:r>
      <w:r>
        <w:rPr>
          <w:rFonts w:hint="eastAsia" w:ascii="仿宋_GB2312" w:hAnsi="仿宋_GB2312" w:eastAsia="仿宋_GB2312" w:cs="仿宋_GB2312"/>
          <w:color w:val="auto"/>
          <w:sz w:val="32"/>
          <w:szCs w:val="32"/>
        </w:rPr>
        <w:t>群众要求全面准确有所查，群众诉求及时明确有所答。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（二）依申请公开情况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年度，罗甸县税务局未收到</w:t>
      </w:r>
      <w:r>
        <w:rPr>
          <w:rFonts w:hint="eastAsia" w:ascii="仿宋_GB2312" w:hAnsi="仿宋_GB2312" w:eastAsia="仿宋_GB2312" w:cs="仿宋_GB2312"/>
          <w:color w:val="auto"/>
          <w:sz w:val="32"/>
          <w:szCs w:val="32"/>
        </w:rPr>
        <w:t>依申请公开</w:t>
      </w:r>
      <w:r>
        <w:rPr>
          <w:rFonts w:hint="eastAsia" w:ascii="仿宋_GB2312" w:hAnsi="仿宋_GB2312" w:eastAsia="仿宋_GB2312" w:cs="仿宋_GB2312"/>
          <w:color w:val="auto"/>
          <w:sz w:val="32"/>
          <w:szCs w:val="32"/>
          <w:lang w:eastAsia="zh-CN"/>
        </w:rPr>
        <w:t>办理事项。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rPr>
        <w:t>根据人员调整情况，</w:t>
      </w:r>
      <w:r>
        <w:rPr>
          <w:rFonts w:hint="eastAsia" w:ascii="Times New Roman" w:hAnsi="Times New Roman" w:eastAsia="仿宋_GB2312" w:cs="Times New Roman"/>
          <w:color w:val="auto"/>
          <w:sz w:val="32"/>
          <w:szCs w:val="32"/>
          <w:lang w:eastAsia="zh-CN"/>
        </w:rPr>
        <w:t>及时</w:t>
      </w:r>
      <w:r>
        <w:rPr>
          <w:rFonts w:hint="default"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lang w:eastAsia="zh-CN"/>
        </w:rPr>
        <w:t>政府信息</w:t>
      </w:r>
      <w:r>
        <w:rPr>
          <w:rFonts w:hint="default" w:ascii="Times New Roman" w:hAnsi="Times New Roman" w:eastAsia="仿宋_GB2312" w:cs="Times New Roman"/>
          <w:color w:val="auto"/>
          <w:sz w:val="32"/>
          <w:szCs w:val="32"/>
        </w:rPr>
        <w:t>公开</w:t>
      </w:r>
      <w:r>
        <w:rPr>
          <w:rFonts w:hint="eastAsia"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领导小组</w:t>
      </w:r>
      <w:r>
        <w:rPr>
          <w:rFonts w:hint="eastAsia" w:ascii="Times New Roman" w:hAnsi="Times New Roman" w:eastAsia="仿宋_GB2312" w:cs="Times New Roman"/>
          <w:color w:val="auto"/>
          <w:sz w:val="32"/>
          <w:szCs w:val="32"/>
          <w:lang w:eastAsia="zh-CN"/>
        </w:rPr>
        <w:t>进行调整充实</w:t>
      </w:r>
      <w:r>
        <w:rPr>
          <w:rFonts w:hint="default" w:ascii="Times New Roman" w:hAnsi="Times New Roman" w:eastAsia="仿宋_GB2312" w:cs="Times New Roman"/>
          <w:color w:val="auto"/>
          <w:sz w:val="32"/>
          <w:szCs w:val="32"/>
        </w:rPr>
        <w:t>，在全局形成一把手负总责、分管领导具体负责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办公室</w:t>
      </w:r>
      <w:r>
        <w:rPr>
          <w:rFonts w:hint="eastAsia" w:ascii="Times New Roman" w:hAnsi="Times New Roman" w:eastAsia="仿宋_GB2312" w:cs="Times New Roman"/>
          <w:color w:val="auto"/>
          <w:sz w:val="32"/>
          <w:szCs w:val="32"/>
          <w:lang w:eastAsia="zh-CN"/>
        </w:rPr>
        <w:t>（党委办公室）</w:t>
      </w:r>
      <w:r>
        <w:rPr>
          <w:rFonts w:hint="default" w:ascii="Times New Roman" w:hAnsi="Times New Roman" w:eastAsia="仿宋_GB2312" w:cs="Times New Roman"/>
          <w:color w:val="auto"/>
          <w:sz w:val="32"/>
          <w:szCs w:val="32"/>
        </w:rPr>
        <w:t>具体组织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相关股室协调配合的管理体系，为</w:t>
      </w:r>
      <w:r>
        <w:rPr>
          <w:rFonts w:hint="eastAsia" w:ascii="Times New Roman" w:hAnsi="Times New Roman" w:eastAsia="仿宋_GB2312" w:cs="Times New Roman"/>
          <w:color w:val="auto"/>
          <w:sz w:val="32"/>
          <w:szCs w:val="32"/>
          <w:lang w:eastAsia="zh-CN"/>
        </w:rPr>
        <w:t>政府信息</w:t>
      </w:r>
      <w:r>
        <w:rPr>
          <w:rFonts w:hint="default" w:ascii="Times New Roman" w:hAnsi="Times New Roman" w:eastAsia="仿宋_GB2312" w:cs="Times New Roman"/>
          <w:color w:val="auto"/>
          <w:sz w:val="32"/>
          <w:szCs w:val="32"/>
        </w:rPr>
        <w:t>公开工作提供坚实的组织保障</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同时</w:t>
      </w:r>
      <w:r>
        <w:rPr>
          <w:rFonts w:hint="eastAsia" w:ascii="仿宋_GB2312" w:hAnsi="仿宋_GB2312" w:eastAsia="仿宋_GB2312" w:cs="仿宋_GB2312"/>
          <w:color w:val="auto"/>
          <w:sz w:val="32"/>
          <w:szCs w:val="32"/>
          <w:lang w:eastAsia="zh-CN"/>
        </w:rPr>
        <w:t>，根据政府信息公开标准规范清单明确的公开事项、公开内容、公开渠道等，结合部门工作职责，</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eastAsia="zh-CN"/>
        </w:rPr>
        <w:t>各项需要公开的事项</w:t>
      </w:r>
      <w:r>
        <w:rPr>
          <w:rFonts w:hint="eastAsia" w:ascii="仿宋_GB2312" w:hAnsi="仿宋_GB2312" w:eastAsia="仿宋_GB2312" w:cs="仿宋_GB2312"/>
          <w:color w:val="auto"/>
          <w:sz w:val="32"/>
          <w:szCs w:val="32"/>
        </w:rPr>
        <w:t>分解到各</w:t>
      </w:r>
      <w:r>
        <w:rPr>
          <w:rFonts w:hint="eastAsia" w:ascii="仿宋_GB2312" w:hAnsi="仿宋_GB2312" w:eastAsia="仿宋_GB2312" w:cs="仿宋_GB2312"/>
          <w:color w:val="auto"/>
          <w:sz w:val="32"/>
          <w:szCs w:val="32"/>
          <w:lang w:eastAsia="zh-CN"/>
        </w:rPr>
        <w:t>股室，确保政府信息公开工作稳步有序推进。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（四）政府信息公开平台建设情况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color w:val="auto"/>
          <w:sz w:val="32"/>
          <w:szCs w:val="32"/>
        </w:rPr>
        <w:t>依托多彩贵州网、</w:t>
      </w:r>
      <w:r>
        <w:rPr>
          <w:rFonts w:hint="eastAsia" w:ascii="Times New Roman" w:hAnsi="Times New Roman" w:eastAsia="仿宋_GB2312" w:cs="Times New Roman"/>
          <w:color w:val="auto"/>
          <w:sz w:val="32"/>
          <w:szCs w:val="32"/>
          <w:lang w:eastAsia="zh-CN"/>
        </w:rPr>
        <w:t>国家税务总局贵州省税务局门户网站</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罗甸</w:t>
      </w:r>
      <w:r>
        <w:rPr>
          <w:rFonts w:hint="default" w:ascii="Times New Roman" w:hAnsi="Times New Roman" w:eastAsia="仿宋_GB2312" w:cs="Times New Roman"/>
          <w:color w:val="auto"/>
          <w:sz w:val="32"/>
          <w:szCs w:val="32"/>
        </w:rPr>
        <w:t>县人民政府网、税企</w:t>
      </w:r>
      <w:r>
        <w:rPr>
          <w:rFonts w:hint="default" w:ascii="Times New Roman" w:hAnsi="Times New Roman" w:eastAsia="仿宋_GB2312" w:cs="Times New Roman"/>
          <w:color w:val="auto"/>
          <w:sz w:val="32"/>
          <w:szCs w:val="32"/>
          <w:lang w:val="en-US" w:eastAsia="zh-CN"/>
        </w:rPr>
        <w:t>QQ微信</w:t>
      </w:r>
      <w:r>
        <w:rPr>
          <w:rFonts w:hint="default" w:ascii="Times New Roman" w:hAnsi="Times New Roman" w:eastAsia="仿宋_GB2312" w:cs="Times New Roman"/>
          <w:color w:val="auto"/>
          <w:sz w:val="32"/>
          <w:szCs w:val="32"/>
          <w:lang w:eastAsia="zh-CN"/>
        </w:rPr>
        <w:t>交流</w:t>
      </w:r>
      <w:r>
        <w:rPr>
          <w:rFonts w:hint="default" w:ascii="Times New Roman" w:hAnsi="Times New Roman" w:eastAsia="仿宋_GB2312" w:cs="Times New Roman"/>
          <w:color w:val="auto"/>
          <w:sz w:val="32"/>
          <w:szCs w:val="32"/>
        </w:rPr>
        <w:t>群等载体，及时、准确地公开</w:t>
      </w:r>
      <w:r>
        <w:rPr>
          <w:rFonts w:hint="eastAsia" w:ascii="Times New Roman" w:hAnsi="Times New Roman" w:eastAsia="仿宋_GB2312" w:cs="Times New Roman"/>
          <w:color w:val="auto"/>
          <w:sz w:val="32"/>
          <w:szCs w:val="32"/>
          <w:lang w:eastAsia="zh-CN"/>
        </w:rPr>
        <w:t>政府信息</w:t>
      </w:r>
      <w:r>
        <w:rPr>
          <w:rFonts w:hint="default" w:ascii="Times New Roman" w:hAnsi="Times New Roman" w:eastAsia="仿宋_GB2312" w:cs="Times New Roman"/>
          <w:color w:val="auto"/>
          <w:sz w:val="32"/>
          <w:szCs w:val="32"/>
        </w:rPr>
        <w:t>，切实增强税收工作透明度。</w:t>
      </w:r>
      <w:r>
        <w:rPr>
          <w:rFonts w:hint="eastAsia" w:ascii="Times New Roman" w:hAnsi="Times New Roman" w:eastAsia="仿宋_GB2312" w:cs="Times New Roman"/>
          <w:color w:val="auto"/>
          <w:sz w:val="32"/>
          <w:szCs w:val="32"/>
          <w:lang w:eastAsia="zh-CN"/>
        </w:rPr>
        <w:t>同时安排专人负责罗甸县税务局办公楼及办税服务厅宣传栏、公开栏的维护，确保线上线下同步更新。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rPr>
        <w:t>严格落实保密审查制度，做到发布前严格把关、发布时严密监督、发布后定期自查，杜绝发生</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rPr>
        <w:t>信息公开涉密事件。</w:t>
      </w:r>
      <w:r>
        <w:rPr>
          <w:rFonts w:hint="eastAsia" w:ascii="仿宋_GB2312" w:hAnsi="仿宋_GB2312" w:eastAsia="仿宋_GB2312" w:cs="仿宋_GB2312"/>
          <w:color w:val="auto"/>
          <w:sz w:val="32"/>
          <w:szCs w:val="32"/>
          <w:lang w:eastAsia="zh-CN"/>
        </w:rPr>
        <w:t>一方面，建立健全政府信息公开考核机制和责任追究制度，</w:t>
      </w:r>
      <w:r>
        <w:rPr>
          <w:rFonts w:hint="eastAsia" w:ascii="仿宋_GB2312" w:hAnsi="仿宋_GB2312" w:eastAsia="仿宋_GB2312" w:cs="仿宋_GB2312"/>
          <w:color w:val="auto"/>
          <w:sz w:val="32"/>
          <w:szCs w:val="32"/>
        </w:rPr>
        <w:t>用监督考核保障政府信息公开工作落到实处。</w:t>
      </w:r>
      <w:r>
        <w:rPr>
          <w:rFonts w:hint="eastAsia" w:ascii="仿宋_GB2312" w:hAnsi="仿宋_GB2312" w:eastAsia="仿宋_GB2312" w:cs="仿宋_GB2312"/>
          <w:color w:val="auto"/>
          <w:sz w:val="32"/>
          <w:szCs w:val="32"/>
          <w:lang w:eastAsia="zh-CN"/>
        </w:rPr>
        <w:t>另一方面，主动公布监督举报电话，自觉</w:t>
      </w:r>
      <w:r>
        <w:rPr>
          <w:rFonts w:hint="eastAsia" w:ascii="仿宋_GB2312" w:hAnsi="仿宋_GB2312" w:eastAsia="仿宋_GB2312" w:cs="仿宋_GB2312"/>
          <w:color w:val="auto"/>
          <w:sz w:val="32"/>
          <w:szCs w:val="32"/>
          <w:lang w:val="en-US" w:eastAsia="zh-CN"/>
        </w:rPr>
        <w:t>接受</w:t>
      </w:r>
      <w:r>
        <w:rPr>
          <w:rFonts w:hint="eastAsia" w:ascii="仿宋_GB2312" w:hAnsi="仿宋_GB2312" w:eastAsia="仿宋_GB2312" w:cs="仿宋_GB2312"/>
          <w:color w:val="auto"/>
          <w:sz w:val="32"/>
          <w:szCs w:val="32"/>
          <w:lang w:eastAsia="zh-CN"/>
        </w:rPr>
        <w:t>社会公众的监督。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宋体" w:hAnsi="宋体" w:eastAsia="宋体" w:cs="宋体"/>
          <w:b w:val="0"/>
          <w:bCs w:val="0"/>
          <w:i w:val="0"/>
          <w:iCs w:val="0"/>
          <w:caps w:val="0"/>
          <w:color w:val="auto"/>
          <w:spacing w:val="0"/>
          <w:sz w:val="24"/>
          <w:szCs w:val="24"/>
        </w:rPr>
      </w:pPr>
      <w:r>
        <w:rPr>
          <w:rFonts w:hint="eastAsia" w:ascii="黑体" w:hAnsi="黑体" w:eastAsia="黑体" w:cs="黑体"/>
          <w:b w:val="0"/>
          <w:bCs w:val="0"/>
          <w:i w:val="0"/>
          <w:iCs w:val="0"/>
          <w:caps w:val="0"/>
          <w:color w:val="auto"/>
          <w:spacing w:val="0"/>
          <w:sz w:val="32"/>
          <w:szCs w:val="32"/>
          <w:shd w:val="clear" w:fill="FFFFFF"/>
        </w:rPr>
        <w:t>二、主动公开政府信息情况</w:t>
      </w:r>
    </w:p>
    <w:tbl>
      <w:tblPr>
        <w:tblStyle w:val="5"/>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现行有效件数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lang w:val="en-US"/>
              </w:rPr>
            </w:pPr>
            <w:r>
              <w:rPr>
                <w:rFonts w:hint="default" w:ascii="Times New Roman" w:hAnsi="Times New Roman" w:eastAsia="宋体" w:cs="Times New Roman"/>
                <w:color w:val="auto"/>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default" w:ascii="Times New Roman" w:hAnsi="Times New Roman" w:eastAsia="宋体" w:cs="Times New Roman"/>
                <w:color w:val="auto"/>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default" w:eastAsiaTheme="minorEastAsia"/>
                <w:color w:val="auto"/>
                <w:lang w:val="en-US" w:eastAsia="zh-CN"/>
              </w:rPr>
            </w:pPr>
            <w:r>
              <w:rPr>
                <w:rFonts w:hint="default" w:ascii="Times New Roman" w:hAnsi="Times New Roman" w:eastAsia="宋体" w:cs="Times New Roman"/>
                <w:color w:val="auto"/>
                <w:kern w:val="0"/>
                <w:sz w:val="20"/>
                <w:szCs w:val="20"/>
                <w:lang w:val="en-US" w:eastAsia="zh-CN" w:bidi="ar"/>
              </w:rPr>
              <w:t>418</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723</w:t>
            </w:r>
            <w:bookmarkStart w:id="0" w:name="_GoBack"/>
            <w:bookmarkEnd w:id="0"/>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eastAsiaTheme="minorEastAsia"/>
                <w:color w:val="auto"/>
                <w:sz w:val="24"/>
                <w:szCs w:val="24"/>
                <w:lang w:val="en-US" w:eastAsia="zh-CN"/>
              </w:rPr>
            </w:pPr>
            <w:r>
              <w:rPr>
                <w:rFonts w:hint="default" w:ascii="Times New Roman" w:hAnsi="Times New Roman" w:eastAsia="宋体" w:cs="Times New Roman"/>
                <w:color w:val="auto"/>
                <w:kern w:val="0"/>
                <w:sz w:val="20"/>
                <w:szCs w:val="20"/>
                <w:lang w:val="en-US" w:eastAsia="zh-CN" w:bidi="ar"/>
              </w:rPr>
              <w:t>0</w:t>
            </w:r>
          </w:p>
        </w:tc>
      </w:tr>
    </w:tbl>
    <w:p>
      <w:pPr>
        <w:keepNext w:val="0"/>
        <w:keepLines w:val="0"/>
        <w:pageBreakBefore w:val="0"/>
        <w:widowControl w:val="0"/>
        <w:suppressLineNumbers w:val="0"/>
        <w:kinsoku/>
        <w:wordWrap/>
        <w:overflowPunct/>
        <w:topLinePunct w:val="0"/>
        <w:autoSpaceDE/>
        <w:autoSpaceDN/>
        <w:bidi w:val="0"/>
        <w:adjustRightInd/>
        <w:snapToGrid/>
        <w:jc w:val="left"/>
        <w:textAlignment w:val="auto"/>
        <w:rPr>
          <w:color w:val="auto"/>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iCs w:val="0"/>
          <w:caps w:val="0"/>
          <w:color w:val="auto"/>
          <w:spacing w:val="0"/>
          <w:sz w:val="24"/>
          <w:szCs w:val="24"/>
        </w:rPr>
      </w:pPr>
      <w:r>
        <w:rPr>
          <w:rFonts w:hint="eastAsia" w:ascii="黑体" w:hAnsi="黑体" w:eastAsia="黑体" w:cs="黑体"/>
          <w:b w:val="0"/>
          <w:bCs w:val="0"/>
          <w:i w:val="0"/>
          <w:iCs w:val="0"/>
          <w:caps w:val="0"/>
          <w:color w:val="auto"/>
          <w:spacing w:val="0"/>
          <w:sz w:val="32"/>
          <w:szCs w:val="32"/>
          <w:shd w:val="clear" w:fill="FFFFFF"/>
        </w:rPr>
        <w:t>三、收到和处理政府信息公开申请情况</w:t>
      </w:r>
    </w:p>
    <w:tbl>
      <w:tblPr>
        <w:tblStyle w:val="5"/>
        <w:tblW w:w="9748" w:type="dxa"/>
        <w:jc w:val="center"/>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5150" w:type="dxa"/>
            <w:gridSpan w:val="3"/>
            <w:vMerge w:val="restart"/>
            <w:tcBorders>
              <w:tl2br w:val="nil"/>
              <w:tr2bl w:val="nil"/>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4998" w:type="dxa"/>
            <w:gridSpan w:val="7"/>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申请人情况</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5150" w:type="dxa"/>
            <w:gridSpan w:val="3"/>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714" w:type="dxa"/>
            <w:vMerge w:val="restart"/>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自然人</w:t>
            </w:r>
          </w:p>
        </w:tc>
        <w:tc>
          <w:tcPr>
            <w:tcW w:w="3570" w:type="dxa"/>
            <w:gridSpan w:val="5"/>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法人或其他组织</w:t>
            </w:r>
          </w:p>
        </w:tc>
        <w:tc>
          <w:tcPr>
            <w:tcW w:w="714" w:type="dxa"/>
            <w:vMerge w:val="restart"/>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总计</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5150" w:type="dxa"/>
            <w:gridSpan w:val="3"/>
            <w:vMerge w:val="continue"/>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714"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商业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企业</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科研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机构</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社会公益组织</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法律服务机构</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其他</w:t>
            </w:r>
          </w:p>
        </w:tc>
        <w:tc>
          <w:tcPr>
            <w:tcW w:w="714"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5150" w:type="dxa"/>
            <w:gridSpan w:val="3"/>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lang w:val="en-US"/>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5150" w:type="dxa"/>
            <w:gridSpan w:val="3"/>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restart"/>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三、本年度办理结果</w:t>
            </w:r>
          </w:p>
        </w:tc>
        <w:tc>
          <w:tcPr>
            <w:tcW w:w="4365" w:type="dxa"/>
            <w:gridSpan w:val="2"/>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（一）予以公开</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4365" w:type="dxa"/>
            <w:gridSpan w:val="2"/>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（二）部分公开（区分处理的，只计这一情形，不计其他情形）</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restart"/>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（三）不予公开</w:t>
            </w:r>
          </w:p>
        </w:tc>
        <w:tc>
          <w:tcPr>
            <w:tcW w:w="3406"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1</w:t>
            </w:r>
            <w:r>
              <w:rPr>
                <w:rFonts w:hint="eastAsia" w:ascii="宋体" w:hAnsi="宋体" w:eastAsia="宋体" w:cs="宋体"/>
                <w:color w:val="auto"/>
                <w:kern w:val="0"/>
                <w:sz w:val="20"/>
                <w:szCs w:val="20"/>
                <w:lang w:val="en-US" w:eastAsia="zh-CN" w:bidi="ar"/>
              </w:rPr>
              <w:t>.属于国家秘密</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3406"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2</w:t>
            </w:r>
            <w:r>
              <w:rPr>
                <w:rFonts w:hint="eastAsia" w:ascii="宋体" w:hAnsi="宋体" w:eastAsia="宋体" w:cs="宋体"/>
                <w:color w:val="auto"/>
                <w:kern w:val="0"/>
                <w:sz w:val="20"/>
                <w:szCs w:val="20"/>
                <w:lang w:val="en-US" w:eastAsia="zh-CN" w:bidi="ar"/>
              </w:rPr>
              <w:t>.其他法律行政法规禁止公开</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3406"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3</w:t>
            </w:r>
            <w:r>
              <w:rPr>
                <w:rFonts w:hint="eastAsia" w:ascii="宋体" w:hAnsi="宋体" w:eastAsia="宋体" w:cs="宋体"/>
                <w:color w:val="auto"/>
                <w:kern w:val="0"/>
                <w:sz w:val="20"/>
                <w:szCs w:val="20"/>
                <w:lang w:val="en-US" w:eastAsia="zh-CN" w:bidi="ar"/>
              </w:rPr>
              <w:t>.危及“三安全一稳定”</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3406"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4</w:t>
            </w:r>
            <w:r>
              <w:rPr>
                <w:rFonts w:hint="eastAsia" w:ascii="宋体" w:hAnsi="宋体" w:eastAsia="宋体" w:cs="宋体"/>
                <w:color w:val="auto"/>
                <w:kern w:val="0"/>
                <w:sz w:val="20"/>
                <w:szCs w:val="20"/>
                <w:lang w:val="en-US" w:eastAsia="zh-CN" w:bidi="ar"/>
              </w:rPr>
              <w:t>.保护第三方合法权益</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3406"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5</w:t>
            </w:r>
            <w:r>
              <w:rPr>
                <w:rFonts w:hint="eastAsia" w:ascii="宋体" w:hAnsi="宋体" w:eastAsia="宋体" w:cs="宋体"/>
                <w:color w:val="auto"/>
                <w:kern w:val="0"/>
                <w:sz w:val="20"/>
                <w:szCs w:val="20"/>
                <w:lang w:val="en-US" w:eastAsia="zh-CN" w:bidi="ar"/>
              </w:rPr>
              <w:t>.属于三类内部事务信息</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3406"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6</w:t>
            </w:r>
            <w:r>
              <w:rPr>
                <w:rFonts w:hint="eastAsia" w:ascii="宋体" w:hAnsi="宋体" w:eastAsia="宋体" w:cs="宋体"/>
                <w:color w:val="auto"/>
                <w:kern w:val="0"/>
                <w:sz w:val="20"/>
                <w:szCs w:val="20"/>
                <w:lang w:val="en-US" w:eastAsia="zh-CN" w:bidi="ar"/>
              </w:rPr>
              <w:t>.属于四类过程性信息</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3406"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7</w:t>
            </w:r>
            <w:r>
              <w:rPr>
                <w:rFonts w:hint="eastAsia" w:ascii="宋体" w:hAnsi="宋体" w:eastAsia="宋体" w:cs="宋体"/>
                <w:color w:val="auto"/>
                <w:kern w:val="0"/>
                <w:sz w:val="20"/>
                <w:szCs w:val="20"/>
                <w:lang w:val="en-US" w:eastAsia="zh-CN" w:bidi="ar"/>
              </w:rPr>
              <w:t>.属于行政执法案卷</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3406"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8</w:t>
            </w:r>
            <w:r>
              <w:rPr>
                <w:rFonts w:hint="eastAsia" w:ascii="宋体" w:hAnsi="宋体" w:eastAsia="宋体" w:cs="宋体"/>
                <w:color w:val="auto"/>
                <w:kern w:val="0"/>
                <w:sz w:val="20"/>
                <w:szCs w:val="20"/>
                <w:lang w:val="en-US" w:eastAsia="zh-CN" w:bidi="ar"/>
              </w:rPr>
              <w:t>.属于行政查询事项</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restart"/>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（四）无法提供</w:t>
            </w:r>
          </w:p>
        </w:tc>
        <w:tc>
          <w:tcPr>
            <w:tcW w:w="3406"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1</w:t>
            </w:r>
            <w:r>
              <w:rPr>
                <w:rFonts w:hint="eastAsia" w:ascii="宋体" w:hAnsi="宋体" w:eastAsia="宋体" w:cs="宋体"/>
                <w:color w:val="auto"/>
                <w:kern w:val="0"/>
                <w:sz w:val="20"/>
                <w:szCs w:val="20"/>
                <w:lang w:val="en-US" w:eastAsia="zh-CN" w:bidi="ar"/>
              </w:rPr>
              <w:t>.本机关不掌握相关政府信息</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3406"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2</w:t>
            </w:r>
            <w:r>
              <w:rPr>
                <w:rFonts w:hint="eastAsia" w:ascii="宋体" w:hAnsi="宋体" w:eastAsia="宋体" w:cs="宋体"/>
                <w:color w:val="auto"/>
                <w:kern w:val="0"/>
                <w:sz w:val="20"/>
                <w:szCs w:val="20"/>
                <w:lang w:val="en-US" w:eastAsia="zh-CN" w:bidi="ar"/>
              </w:rPr>
              <w:t>.没有现成信息需要另行制作</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3406"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3</w:t>
            </w:r>
            <w:r>
              <w:rPr>
                <w:rFonts w:hint="eastAsia" w:ascii="宋体" w:hAnsi="宋体" w:eastAsia="宋体" w:cs="宋体"/>
                <w:color w:val="auto"/>
                <w:kern w:val="0"/>
                <w:sz w:val="20"/>
                <w:szCs w:val="20"/>
                <w:lang w:val="en-US" w:eastAsia="zh-CN" w:bidi="ar"/>
              </w:rPr>
              <w:t>.补正后申请内容仍不明确</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restart"/>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（五）不予处理</w:t>
            </w:r>
          </w:p>
        </w:tc>
        <w:tc>
          <w:tcPr>
            <w:tcW w:w="3406"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1</w:t>
            </w:r>
            <w:r>
              <w:rPr>
                <w:rFonts w:hint="eastAsia" w:ascii="宋体" w:hAnsi="宋体" w:eastAsia="宋体" w:cs="宋体"/>
                <w:color w:val="auto"/>
                <w:kern w:val="0"/>
                <w:sz w:val="20"/>
                <w:szCs w:val="20"/>
                <w:lang w:val="en-US" w:eastAsia="zh-CN" w:bidi="ar"/>
              </w:rPr>
              <w:t>.信访举报投诉类申请</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3406"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2</w:t>
            </w:r>
            <w:r>
              <w:rPr>
                <w:rFonts w:hint="eastAsia" w:ascii="宋体" w:hAnsi="宋体" w:eastAsia="宋体" w:cs="宋体"/>
                <w:color w:val="auto"/>
                <w:kern w:val="0"/>
                <w:sz w:val="20"/>
                <w:szCs w:val="20"/>
                <w:lang w:val="en-US" w:eastAsia="zh-CN" w:bidi="ar"/>
              </w:rPr>
              <w:t>.重复申请</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3406"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3</w:t>
            </w:r>
            <w:r>
              <w:rPr>
                <w:rFonts w:hint="eastAsia" w:ascii="宋体" w:hAnsi="宋体" w:eastAsia="宋体" w:cs="宋体"/>
                <w:color w:val="auto"/>
                <w:kern w:val="0"/>
                <w:sz w:val="20"/>
                <w:szCs w:val="20"/>
                <w:lang w:val="en-US" w:eastAsia="zh-CN" w:bidi="ar"/>
              </w:rPr>
              <w:t>.要求提供公开出版物</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3406"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4</w:t>
            </w:r>
            <w:r>
              <w:rPr>
                <w:rFonts w:hint="eastAsia" w:ascii="宋体" w:hAnsi="宋体" w:eastAsia="宋体" w:cs="宋体"/>
                <w:color w:val="auto"/>
                <w:kern w:val="0"/>
                <w:sz w:val="20"/>
                <w:szCs w:val="20"/>
                <w:lang w:val="en-US" w:eastAsia="zh-CN" w:bidi="ar"/>
              </w:rPr>
              <w:t>.无正当理由大量反复申请</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79" w:hRule="atLeast"/>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3406"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color w:val="auto"/>
              </w:rPr>
            </w:pPr>
            <w:r>
              <w:rPr>
                <w:rFonts w:hint="default" w:ascii="Times New Roman" w:hAnsi="Times New Roman" w:eastAsia="宋体" w:cs="Times New Roman"/>
                <w:color w:val="auto"/>
                <w:kern w:val="0"/>
                <w:sz w:val="20"/>
                <w:szCs w:val="20"/>
                <w:lang w:val="en-US" w:eastAsia="zh-CN" w:bidi="ar"/>
              </w:rPr>
              <w:t>5</w:t>
            </w:r>
            <w:r>
              <w:rPr>
                <w:rFonts w:hint="eastAsia" w:ascii="宋体" w:hAnsi="宋体" w:eastAsia="宋体" w:cs="宋体"/>
                <w:color w:val="auto"/>
                <w:kern w:val="0"/>
                <w:sz w:val="20"/>
                <w:szCs w:val="20"/>
                <w:lang w:val="en-US" w:eastAsia="zh-CN" w:bidi="ar"/>
              </w:rPr>
              <w:t>.要求行政机关确认或重新出具已获取信息</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restart"/>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（六）其他处理</w:t>
            </w:r>
          </w:p>
        </w:tc>
        <w:tc>
          <w:tcPr>
            <w:tcW w:w="3406"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color w:val="auto"/>
              </w:rPr>
            </w:pPr>
            <w:r>
              <w:rPr>
                <w:rFonts w:hint="default" w:ascii="Times New Roman" w:hAnsi="Times New Roman" w:eastAsia="宋体" w:cs="Times New Roman"/>
                <w:color w:val="auto"/>
                <w:kern w:val="0"/>
                <w:sz w:val="20"/>
                <w:szCs w:val="20"/>
                <w:lang w:val="en-US" w:eastAsia="zh-CN" w:bidi="ar"/>
              </w:rPr>
              <w:t>1</w:t>
            </w:r>
            <w:r>
              <w:rPr>
                <w:rFonts w:hint="eastAsia" w:ascii="宋体" w:hAnsi="宋体" w:eastAsia="宋体" w:cs="宋体"/>
                <w:color w:val="auto"/>
                <w:kern w:val="0"/>
                <w:sz w:val="20"/>
                <w:szCs w:val="20"/>
                <w:lang w:val="en-US" w:eastAsia="zh-CN" w:bidi="ar"/>
              </w:rPr>
              <w:t>.申请人无正当理由逾期不补正、行政机关不再处理其政府信息公开申请</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3406"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color w:val="auto"/>
              </w:rPr>
            </w:pPr>
            <w:r>
              <w:rPr>
                <w:rFonts w:hint="default" w:ascii="Times New Roman" w:hAnsi="Times New Roman" w:eastAsia="宋体" w:cs="Times New Roman"/>
                <w:color w:val="auto"/>
                <w:kern w:val="0"/>
                <w:sz w:val="20"/>
                <w:szCs w:val="20"/>
                <w:lang w:val="en-US" w:eastAsia="zh-CN" w:bidi="ar"/>
              </w:rPr>
              <w:t>2</w:t>
            </w:r>
            <w:r>
              <w:rPr>
                <w:rFonts w:hint="eastAsia" w:ascii="宋体" w:hAnsi="宋体" w:eastAsia="宋体" w:cs="宋体"/>
                <w:color w:val="auto"/>
                <w:kern w:val="0"/>
                <w:sz w:val="20"/>
                <w:szCs w:val="20"/>
                <w:lang w:val="en-US" w:eastAsia="zh-CN" w:bidi="ar"/>
              </w:rPr>
              <w:t>.申请人逾期未按收费通知要求缴纳费用、行政机关不再处理其政府信息公开申请</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959"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3406"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default" w:ascii="Times New Roman" w:hAnsi="Times New Roman" w:eastAsia="宋体" w:cs="Times New Roman"/>
                <w:color w:val="auto"/>
                <w:kern w:val="0"/>
                <w:sz w:val="20"/>
                <w:szCs w:val="20"/>
                <w:lang w:val="en-US" w:eastAsia="zh-CN" w:bidi="ar"/>
              </w:rPr>
              <w:t>3</w:t>
            </w:r>
            <w:r>
              <w:rPr>
                <w:rFonts w:hint="eastAsia" w:ascii="宋体" w:hAnsi="宋体" w:eastAsia="宋体" w:cs="宋体"/>
                <w:color w:val="auto"/>
                <w:kern w:val="0"/>
                <w:sz w:val="20"/>
                <w:szCs w:val="20"/>
                <w:lang w:val="en-US" w:eastAsia="zh-CN" w:bidi="ar"/>
              </w:rPr>
              <w:t>.其他</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785" w:type="dxa"/>
            <w:vMerge w:val="continue"/>
            <w:tcBorders>
              <w:tl2br w:val="nil"/>
              <w:tr2bl w:val="nil"/>
            </w:tcBorders>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4365" w:type="dxa"/>
            <w:gridSpan w:val="2"/>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（七）总计</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5150" w:type="dxa"/>
            <w:gridSpan w:val="3"/>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四、结转下年度继续办理</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Calibri" w:hAnsi="Calibri" w:cs="Calibri" w:eastAsiaTheme="minorEastAsia"/>
                <w:color w:val="auto"/>
                <w:kern w:val="0"/>
                <w:sz w:val="20"/>
                <w:szCs w:val="20"/>
                <w:lang w:val="en-US" w:eastAsia="zh-CN" w:bidi="ar"/>
              </w:rPr>
              <w:t> </w:t>
            </w:r>
            <w:r>
              <w:rPr>
                <w:rFonts w:hint="default" w:ascii="Times New Roman" w:hAnsi="Times New Roman" w:cs="Times New Roman"/>
                <w:color w:val="auto"/>
                <w:kern w:val="0"/>
                <w:sz w:val="20"/>
                <w:szCs w:val="20"/>
                <w:lang w:val="en-US" w:eastAsia="zh-CN" w:bidi="ar"/>
              </w:rPr>
              <w:t>0</w:t>
            </w:r>
          </w:p>
        </w:tc>
        <w:tc>
          <w:tcPr>
            <w:tcW w:w="714" w:type="dxa"/>
            <w:tcBorders>
              <w:tl2br w:val="nil"/>
              <w:tr2bl w:val="nil"/>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color w:val="auto"/>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714" w:type="dxa"/>
            <w:tcBorders>
              <w:tl2br w:val="nil"/>
              <w:tr2bl w:val="nil"/>
            </w:tcBorders>
            <w:shd w:val="clear" w:color="auto" w:fill="auto"/>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color w:val="auto"/>
                <w:sz w:val="24"/>
                <w:szCs w:val="24"/>
              </w:rPr>
            </w:pPr>
            <w:r>
              <w:rPr>
                <w:rFonts w:hint="default" w:ascii="Times New Roman" w:hAnsi="Times New Roman" w:cs="Times New Roman"/>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i w:val="0"/>
          <w:iCs w:val="0"/>
          <w:caps w:val="0"/>
          <w:color w:val="auto"/>
          <w:spacing w:val="0"/>
          <w:sz w:val="24"/>
          <w:szCs w:val="24"/>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b w:val="0"/>
          <w:bCs w:val="0"/>
          <w:i w:val="0"/>
          <w:iCs w:val="0"/>
          <w:caps w:val="0"/>
          <w:color w:val="auto"/>
          <w:spacing w:val="0"/>
          <w:sz w:val="24"/>
          <w:szCs w:val="24"/>
        </w:rPr>
      </w:pPr>
      <w:r>
        <w:rPr>
          <w:rFonts w:hint="eastAsia" w:ascii="黑体" w:hAnsi="黑体" w:eastAsia="黑体" w:cs="黑体"/>
          <w:b w:val="0"/>
          <w:bCs w:val="0"/>
          <w:i w:val="0"/>
          <w:iCs w:val="0"/>
          <w:caps w:val="0"/>
          <w:color w:val="auto"/>
          <w:spacing w:val="0"/>
          <w:sz w:val="32"/>
          <w:szCs w:val="32"/>
          <w:shd w:val="clear"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649" w:type="dxa"/>
            <w:vMerge w:val="continue"/>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649" w:type="dxa"/>
            <w:vMerge w:val="continue"/>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649" w:type="dxa"/>
            <w:vMerge w:val="continue"/>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649" w:type="dxa"/>
            <w:vMerge w:val="continue"/>
            <w:tcBorders>
              <w:top w:val="single" w:color="auto" w:sz="8"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color w:val="auto"/>
                <w:sz w:val="24"/>
                <w:szCs w:val="24"/>
              </w:rPr>
            </w:pPr>
          </w:p>
        </w:tc>
        <w:tc>
          <w:tcPr>
            <w:tcW w:w="64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49"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50"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50"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50"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651"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51"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51"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51"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51" w:type="dxa"/>
            <w:tcBorders>
              <w:top w:val="single" w:color="auto" w:sz="8"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color w:val="auto"/>
                <w:lang w:val="en-US"/>
              </w:rPr>
            </w:pPr>
            <w:r>
              <w:rPr>
                <w:rFonts w:hint="default" w:ascii="Times New Roman" w:hAnsi="Times New Roman" w:eastAsia="黑体" w:cs="Times New Roman"/>
                <w:color w:val="auto"/>
                <w:kern w:val="0"/>
                <w:sz w:val="20"/>
                <w:szCs w:val="20"/>
                <w:lang w:val="en-US" w:eastAsia="zh-CN" w:bidi="ar"/>
              </w:rPr>
              <w:t>0</w:t>
            </w:r>
          </w:p>
        </w:tc>
        <w:tc>
          <w:tcPr>
            <w:tcW w:w="649"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color w:val="auto"/>
                <w:lang w:val="en-US"/>
              </w:rPr>
            </w:pPr>
            <w:r>
              <w:rPr>
                <w:rFonts w:hint="default" w:ascii="Times New Roman" w:hAnsi="Times New Roman" w:eastAsia="黑体" w:cs="Times New Roman"/>
                <w:color w:val="auto"/>
                <w:kern w:val="0"/>
                <w:sz w:val="20"/>
                <w:szCs w:val="20"/>
                <w:lang w:val="en-US" w:eastAsia="zh-CN" w:bidi="ar"/>
              </w:rPr>
              <w:t>0</w:t>
            </w:r>
          </w:p>
        </w:tc>
        <w:tc>
          <w:tcPr>
            <w:tcW w:w="649"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default" w:ascii="Times New Roman" w:hAnsi="Times New Roman" w:eastAsia="黑体" w:cs="Times New Roman"/>
                <w:color w:val="auto"/>
                <w:kern w:val="0"/>
                <w:sz w:val="20"/>
                <w:szCs w:val="20"/>
                <w:lang w:val="en-US" w:eastAsia="zh-CN" w:bidi="ar"/>
              </w:rPr>
              <w:t>0</w:t>
            </w:r>
          </w:p>
        </w:tc>
        <w:tc>
          <w:tcPr>
            <w:tcW w:w="649"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default" w:ascii="Times New Roman" w:hAnsi="Times New Roman" w:eastAsia="黑体" w:cs="Times New Roman"/>
                <w:color w:val="auto"/>
                <w:kern w:val="0"/>
                <w:sz w:val="20"/>
                <w:szCs w:val="20"/>
                <w:lang w:val="en-US" w:eastAsia="zh-CN" w:bidi="ar"/>
              </w:rPr>
              <w:t>0</w:t>
            </w:r>
          </w:p>
        </w:tc>
        <w:tc>
          <w:tcPr>
            <w:tcW w:w="649"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color w:val="auto"/>
                <w:lang w:val="en-US"/>
              </w:rPr>
            </w:pPr>
            <w:r>
              <w:rPr>
                <w:rFonts w:hint="default" w:ascii="Times New Roman" w:hAnsi="Times New Roman" w:eastAsia="黑体" w:cs="Times New Roman"/>
                <w:color w:val="auto"/>
                <w:kern w:val="0"/>
                <w:sz w:val="20"/>
                <w:szCs w:val="20"/>
                <w:lang w:val="en-US" w:eastAsia="zh-CN" w:bidi="ar"/>
              </w:rPr>
              <w:t>0</w:t>
            </w:r>
          </w:p>
        </w:tc>
        <w:tc>
          <w:tcPr>
            <w:tcW w:w="649"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default" w:ascii="Times New Roman" w:hAnsi="Times New Roman" w:eastAsia="黑体" w:cs="Times New Roman"/>
                <w:color w:val="auto"/>
                <w:kern w:val="0"/>
                <w:sz w:val="20"/>
                <w:szCs w:val="20"/>
                <w:lang w:val="en-US" w:eastAsia="zh-CN" w:bidi="ar"/>
              </w:rPr>
              <w:t>0</w:t>
            </w:r>
          </w:p>
        </w:tc>
        <w:tc>
          <w:tcPr>
            <w:tcW w:w="649"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color w:val="auto"/>
                <w:lang w:val="en-US"/>
              </w:rPr>
            </w:pPr>
            <w:r>
              <w:rPr>
                <w:rFonts w:hint="default" w:ascii="Times New Roman" w:hAnsi="Times New Roman" w:eastAsia="黑体" w:cs="Times New Roman"/>
                <w:color w:val="auto"/>
                <w:kern w:val="0"/>
                <w:sz w:val="20"/>
                <w:szCs w:val="20"/>
                <w:lang w:val="en-US" w:eastAsia="zh-CN" w:bidi="ar"/>
              </w:rPr>
              <w:t>0</w:t>
            </w:r>
          </w:p>
        </w:tc>
        <w:tc>
          <w:tcPr>
            <w:tcW w:w="650"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color w:val="auto"/>
                <w:lang w:val="en-US"/>
              </w:rPr>
            </w:pPr>
            <w:r>
              <w:rPr>
                <w:rFonts w:hint="default" w:ascii="Times New Roman" w:hAnsi="Times New Roman" w:eastAsia="黑体" w:cs="Times New Roman"/>
                <w:color w:val="auto"/>
                <w:kern w:val="0"/>
                <w:sz w:val="20"/>
                <w:szCs w:val="20"/>
                <w:lang w:val="en-US" w:eastAsia="zh-CN" w:bidi="ar"/>
              </w:rPr>
              <w:t>0</w:t>
            </w:r>
          </w:p>
        </w:tc>
        <w:tc>
          <w:tcPr>
            <w:tcW w:w="650"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default" w:ascii="Times New Roman" w:hAnsi="Times New Roman" w:eastAsia="黑体" w:cs="Times New Roman"/>
                <w:color w:val="auto"/>
                <w:kern w:val="0"/>
                <w:sz w:val="20"/>
                <w:szCs w:val="20"/>
                <w:lang w:val="en-US" w:eastAsia="zh-CN" w:bidi="ar"/>
              </w:rPr>
              <w:t>0</w:t>
            </w:r>
          </w:p>
        </w:tc>
        <w:tc>
          <w:tcPr>
            <w:tcW w:w="650"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color w:val="auto"/>
                <w:lang w:val="en-US"/>
              </w:rPr>
            </w:pPr>
            <w:r>
              <w:rPr>
                <w:rFonts w:hint="default" w:ascii="Times New Roman" w:hAnsi="Times New Roman" w:eastAsia="黑体" w:cs="Times New Roman"/>
                <w:color w:val="auto"/>
                <w:kern w:val="0"/>
                <w:sz w:val="20"/>
                <w:szCs w:val="20"/>
                <w:lang w:val="en-US" w:eastAsia="zh-CN" w:bidi="ar"/>
              </w:rPr>
              <w:t>0</w:t>
            </w:r>
          </w:p>
        </w:tc>
        <w:tc>
          <w:tcPr>
            <w:tcW w:w="651"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color w:val="auto"/>
                <w:lang w:val="en-US"/>
              </w:rPr>
            </w:pPr>
            <w:r>
              <w:rPr>
                <w:rFonts w:hint="default" w:ascii="Times New Roman" w:hAnsi="Times New Roman" w:eastAsia="黑体" w:cs="Times New Roman"/>
                <w:color w:val="auto"/>
                <w:kern w:val="0"/>
                <w:sz w:val="20"/>
                <w:szCs w:val="20"/>
                <w:lang w:val="en-US" w:eastAsia="zh-CN" w:bidi="ar"/>
              </w:rPr>
              <w:t>0</w:t>
            </w:r>
          </w:p>
        </w:tc>
        <w:tc>
          <w:tcPr>
            <w:tcW w:w="651"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default" w:ascii="Times New Roman" w:hAnsi="Times New Roman" w:eastAsia="黑体" w:cs="Times New Roman"/>
                <w:color w:val="auto"/>
                <w:kern w:val="0"/>
                <w:sz w:val="20"/>
                <w:szCs w:val="20"/>
                <w:lang w:val="en-US" w:eastAsia="zh-CN" w:bidi="ar"/>
              </w:rPr>
              <w:t>0</w:t>
            </w:r>
          </w:p>
        </w:tc>
        <w:tc>
          <w:tcPr>
            <w:tcW w:w="651"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default" w:ascii="Times New Roman" w:hAnsi="Times New Roman" w:eastAsia="黑体" w:cs="Times New Roman"/>
                <w:color w:val="auto"/>
                <w:kern w:val="0"/>
                <w:sz w:val="20"/>
                <w:szCs w:val="20"/>
                <w:lang w:val="en-US" w:eastAsia="zh-CN" w:bidi="ar"/>
              </w:rPr>
              <w:t>0</w:t>
            </w:r>
          </w:p>
        </w:tc>
        <w:tc>
          <w:tcPr>
            <w:tcW w:w="651"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color w:val="auto"/>
              </w:rPr>
            </w:pPr>
            <w:r>
              <w:rPr>
                <w:rFonts w:hint="default" w:ascii="Times New Roman" w:hAnsi="Times New Roman" w:eastAsia="黑体" w:cs="Times New Roman"/>
                <w:color w:val="auto"/>
                <w:kern w:val="0"/>
                <w:sz w:val="20"/>
                <w:szCs w:val="20"/>
                <w:lang w:val="en-US" w:eastAsia="zh-CN" w:bidi="ar"/>
              </w:rPr>
              <w:t>0</w:t>
            </w:r>
          </w:p>
        </w:tc>
        <w:tc>
          <w:tcPr>
            <w:tcW w:w="651"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eastAsiaTheme="minorEastAsia"/>
                <w:color w:val="auto"/>
                <w:sz w:val="24"/>
                <w:szCs w:val="24"/>
                <w:lang w:val="en-US" w:eastAsia="zh-CN"/>
              </w:rPr>
            </w:pPr>
            <w:r>
              <w:rPr>
                <w:rFonts w:hint="default" w:ascii="Times New Roman" w:hAnsi="Times New Roman" w:cs="Times New Roman"/>
                <w:color w:val="auto"/>
                <w:sz w:val="24"/>
                <w:szCs w:val="24"/>
                <w:lang w:val="en-US" w:eastAsia="zh-CN"/>
              </w:rPr>
              <w:t>0</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五、存在的主要问题及改进情况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我</w:t>
      </w:r>
      <w:r>
        <w:rPr>
          <w:rFonts w:hint="default" w:ascii="Times New Roman" w:hAnsi="Times New Roman" w:eastAsia="仿宋_GB2312" w:cs="Times New Roman"/>
          <w:color w:val="auto"/>
          <w:sz w:val="32"/>
          <w:szCs w:val="32"/>
        </w:rPr>
        <w:t>局不断完善</w:t>
      </w:r>
      <w:r>
        <w:rPr>
          <w:rFonts w:hint="eastAsia" w:ascii="Times New Roman" w:hAnsi="Times New Roman" w:eastAsia="仿宋_GB2312" w:cs="Times New Roman"/>
          <w:color w:val="auto"/>
          <w:sz w:val="32"/>
          <w:szCs w:val="32"/>
          <w:lang w:eastAsia="zh-CN"/>
        </w:rPr>
        <w:t>政府信息公开</w:t>
      </w:r>
      <w:r>
        <w:rPr>
          <w:rFonts w:hint="default" w:ascii="Times New Roman" w:hAnsi="Times New Roman" w:eastAsia="仿宋_GB2312" w:cs="Times New Roman"/>
          <w:color w:val="auto"/>
          <w:sz w:val="32"/>
          <w:szCs w:val="32"/>
        </w:rPr>
        <w:t>制度，持续加大主动公开力度，但仍</w:t>
      </w:r>
      <w:r>
        <w:rPr>
          <w:rFonts w:hint="eastAsia" w:ascii="Times New Roman" w:hAnsi="Times New Roman" w:eastAsia="仿宋_GB2312" w:cs="Times New Roman"/>
          <w:color w:val="auto"/>
          <w:sz w:val="32"/>
          <w:szCs w:val="32"/>
          <w:lang w:eastAsia="zh-CN"/>
        </w:rPr>
        <w:t>然还存在许多不足。</w:t>
      </w:r>
      <w:r>
        <w:rPr>
          <w:rFonts w:hint="default" w:ascii="Times New Roman" w:hAnsi="Times New Roman" w:eastAsia="仿宋_GB2312" w:cs="Times New Roman"/>
          <w:b/>
          <w:bCs/>
          <w:color w:val="auto"/>
          <w:sz w:val="32"/>
          <w:szCs w:val="32"/>
          <w:lang w:eastAsia="zh-CN"/>
        </w:rPr>
        <w:t>一是</w:t>
      </w:r>
      <w:r>
        <w:rPr>
          <w:rFonts w:hint="default" w:ascii="Times New Roman" w:hAnsi="Times New Roman" w:eastAsia="仿宋_GB2312" w:cs="Times New Roman"/>
          <w:color w:val="auto"/>
          <w:sz w:val="32"/>
          <w:szCs w:val="32"/>
        </w:rPr>
        <w:t>政府</w:t>
      </w:r>
      <w:r>
        <w:rPr>
          <w:rFonts w:hint="eastAsia" w:ascii="Times New Roman" w:hAnsi="Times New Roman" w:eastAsia="仿宋_GB2312" w:cs="Times New Roman"/>
          <w:color w:val="auto"/>
          <w:sz w:val="32"/>
          <w:szCs w:val="32"/>
          <w:lang w:eastAsia="zh-CN"/>
        </w:rPr>
        <w:t>信息</w:t>
      </w:r>
      <w:r>
        <w:rPr>
          <w:rFonts w:hint="default" w:ascii="Times New Roman" w:hAnsi="Times New Roman" w:eastAsia="仿宋_GB2312" w:cs="Times New Roman"/>
          <w:color w:val="auto"/>
          <w:sz w:val="32"/>
          <w:szCs w:val="32"/>
        </w:rPr>
        <w:t>公开规范化标准化有待进一步提升</w:t>
      </w:r>
      <w:r>
        <w:rPr>
          <w:rFonts w:hint="eastAsia" w:ascii="Times New Roman" w:hAnsi="Times New Roman" w:eastAsia="仿宋_GB2312" w:cs="Times New Roman"/>
          <w:color w:val="auto"/>
          <w:sz w:val="32"/>
          <w:szCs w:val="32"/>
          <w:lang w:eastAsia="zh-CN"/>
        </w:rPr>
        <w:t>，还需要不断实践和总结。</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是</w:t>
      </w:r>
      <w:r>
        <w:rPr>
          <w:rFonts w:hint="eastAsia" w:ascii="Times New Roman" w:hAnsi="Times New Roman" w:eastAsia="仿宋_GB2312" w:cs="Times New Roman"/>
          <w:color w:val="auto"/>
          <w:sz w:val="32"/>
          <w:szCs w:val="32"/>
          <w:lang w:eastAsia="zh-CN"/>
        </w:rPr>
        <w:t>主动公开还存在内容不够详细的地方。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我局将深入贯彻</w:t>
      </w:r>
      <w:r>
        <w:rPr>
          <w:rFonts w:hint="default" w:ascii="Times New Roman" w:hAnsi="Times New Roman" w:eastAsia="仿宋_GB2312" w:cs="Times New Roman"/>
          <w:color w:val="auto"/>
          <w:sz w:val="32"/>
          <w:szCs w:val="32"/>
        </w:rPr>
        <w:t>《条例》</w:t>
      </w:r>
      <w:r>
        <w:rPr>
          <w:rFonts w:hint="eastAsia" w:ascii="Times New Roman" w:hAnsi="Times New Roman" w:eastAsia="仿宋_GB2312" w:cs="Times New Roman"/>
          <w:color w:val="auto"/>
          <w:sz w:val="32"/>
          <w:szCs w:val="32"/>
          <w:lang w:eastAsia="zh-CN"/>
        </w:rPr>
        <w:t>精神</w:t>
      </w:r>
      <w:r>
        <w:rPr>
          <w:rFonts w:hint="default" w:ascii="Times New Roman" w:hAnsi="Times New Roman" w:eastAsia="仿宋_GB2312" w:cs="Times New Roman"/>
          <w:color w:val="auto"/>
          <w:sz w:val="32"/>
          <w:szCs w:val="32"/>
        </w:rPr>
        <w:t>，围绕税收工作重点任务，扎实做好</w:t>
      </w:r>
      <w:r>
        <w:rPr>
          <w:rFonts w:hint="default" w:ascii="Times New Roman" w:hAnsi="Times New Roman" w:eastAsia="仿宋_GB2312" w:cs="Times New Roman"/>
          <w:color w:val="auto"/>
          <w:sz w:val="32"/>
          <w:szCs w:val="32"/>
          <w:lang w:eastAsia="zh-CN"/>
        </w:rPr>
        <w:t>政府信息</w:t>
      </w:r>
      <w:r>
        <w:rPr>
          <w:rFonts w:hint="default" w:ascii="Times New Roman" w:hAnsi="Times New Roman" w:eastAsia="仿宋_GB2312" w:cs="Times New Roman"/>
          <w:color w:val="auto"/>
          <w:sz w:val="32"/>
          <w:szCs w:val="32"/>
        </w:rPr>
        <w:t>公开工作，</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b/>
          <w:bCs/>
          <w:color w:val="auto"/>
          <w:sz w:val="32"/>
          <w:szCs w:val="32"/>
        </w:rPr>
        <w:t>是</w:t>
      </w:r>
      <w:r>
        <w:rPr>
          <w:rFonts w:hint="eastAsia" w:ascii="Times New Roman" w:hAnsi="Times New Roman" w:eastAsia="仿宋_GB2312" w:cs="Times New Roman"/>
          <w:b w:val="0"/>
          <w:bCs w:val="0"/>
          <w:color w:val="auto"/>
          <w:sz w:val="32"/>
          <w:szCs w:val="32"/>
          <w:lang w:eastAsia="zh-CN"/>
        </w:rPr>
        <w:t>严把质量关，强化信息内容审核，不断丰富信息公开内容</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color w:val="auto"/>
          <w:sz w:val="32"/>
          <w:szCs w:val="32"/>
        </w:rPr>
        <w:t>紧扣</w:t>
      </w:r>
      <w:r>
        <w:rPr>
          <w:rFonts w:hint="eastAsia" w:ascii="Times New Roman" w:hAnsi="Times New Roman" w:eastAsia="仿宋_GB2312" w:cs="Times New Roman"/>
          <w:color w:val="auto"/>
          <w:sz w:val="32"/>
          <w:szCs w:val="32"/>
          <w:lang w:eastAsia="zh-CN"/>
        </w:rPr>
        <w:t>税费政策落实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充分</w:t>
      </w:r>
      <w:r>
        <w:rPr>
          <w:rFonts w:hint="default" w:ascii="Times New Roman" w:hAnsi="Times New Roman" w:eastAsia="仿宋_GB2312" w:cs="Times New Roman"/>
          <w:color w:val="auto"/>
          <w:sz w:val="32"/>
          <w:szCs w:val="32"/>
        </w:rPr>
        <w:t>利用</w:t>
      </w:r>
      <w:r>
        <w:rPr>
          <w:rFonts w:hint="default" w:ascii="Times New Roman" w:hAnsi="Times New Roman" w:eastAsia="仿宋_GB2312" w:cs="Times New Roman"/>
          <w:color w:val="auto"/>
          <w:sz w:val="32"/>
          <w:szCs w:val="32"/>
          <w:lang w:eastAsia="zh-CN"/>
        </w:rPr>
        <w:t>新</w:t>
      </w:r>
      <w:r>
        <w:rPr>
          <w:rFonts w:hint="default" w:ascii="Times New Roman" w:hAnsi="Times New Roman" w:eastAsia="仿宋_GB2312" w:cs="Times New Roman"/>
          <w:color w:val="auto"/>
          <w:sz w:val="32"/>
          <w:szCs w:val="32"/>
        </w:rPr>
        <w:t>媒体</w:t>
      </w:r>
      <w:r>
        <w:rPr>
          <w:rFonts w:hint="default" w:ascii="Times New Roman" w:hAnsi="Times New Roman" w:eastAsia="仿宋_GB2312" w:cs="Times New Roman"/>
          <w:color w:val="auto"/>
          <w:sz w:val="32"/>
          <w:szCs w:val="32"/>
          <w:lang w:eastAsia="zh-CN"/>
        </w:rPr>
        <w:t>平台</w:t>
      </w:r>
      <w:r>
        <w:rPr>
          <w:rFonts w:hint="eastAsia" w:ascii="Times New Roman" w:hAnsi="Times New Roman" w:eastAsia="仿宋_GB2312" w:cs="Times New Roman"/>
          <w:color w:val="auto"/>
          <w:sz w:val="32"/>
          <w:szCs w:val="32"/>
          <w:lang w:eastAsia="zh-CN"/>
        </w:rPr>
        <w:t>开展宣传</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切实增强政策宣传效果</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lang w:eastAsia="zh-CN"/>
        </w:rPr>
        <w:t>是</w:t>
      </w:r>
      <w:r>
        <w:rPr>
          <w:rFonts w:hint="eastAsia" w:ascii="Times New Roman" w:hAnsi="Times New Roman" w:eastAsia="仿宋_GB2312" w:cs="Times New Roman"/>
          <w:b w:val="0"/>
          <w:bCs w:val="0"/>
          <w:color w:val="auto"/>
          <w:sz w:val="32"/>
          <w:szCs w:val="32"/>
          <w:lang w:eastAsia="zh-CN"/>
        </w:rPr>
        <w:t>细化工作要求，</w:t>
      </w:r>
      <w:r>
        <w:rPr>
          <w:rFonts w:hint="eastAsia" w:ascii="Times New Roman" w:hAnsi="Times New Roman" w:eastAsia="仿宋_GB2312" w:cs="Times New Roman"/>
          <w:color w:val="auto"/>
          <w:sz w:val="32"/>
          <w:szCs w:val="32"/>
          <w:lang w:eastAsia="zh-CN"/>
        </w:rPr>
        <w:t>不断提高政府信息公开工作的质量和水平</w:t>
      </w:r>
      <w:r>
        <w:rPr>
          <w:rFonts w:hint="default" w:ascii="Times New Roman" w:hAnsi="Times New Roman" w:eastAsia="仿宋_GB2312" w:cs="Times New Roman"/>
          <w:color w:val="auto"/>
          <w:sz w:val="32"/>
          <w:szCs w:val="32"/>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rightChars="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rPr>
        <w:t>六、其他需要报告的事项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righ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2023</w:t>
      </w:r>
      <w:r>
        <w:rPr>
          <w:rFonts w:hint="eastAsia" w:ascii="Times New Roman" w:hAnsi="Times New Roman" w:eastAsia="仿宋_GB2312" w:cs="Times New Roman"/>
          <w:color w:val="auto"/>
          <w:sz w:val="32"/>
          <w:szCs w:val="32"/>
          <w:lang w:val="en-US" w:eastAsia="zh-CN"/>
        </w:rPr>
        <w:t>年度未收取政府信息公开信息处理费</w:t>
      </w:r>
      <w:r>
        <w:rPr>
          <w:rFonts w:hint="eastAsia" w:ascii="Times New Roman" w:hAnsi="Times New Roman" w:eastAsia="仿宋_GB2312" w:cs="Times New Roman"/>
          <w:color w:val="auto"/>
          <w:sz w:val="32"/>
          <w:szCs w:val="32"/>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rightChars="0" w:firstLine="640" w:firstLineChars="200"/>
        <w:jc w:val="both"/>
        <w:textAlignment w:val="auto"/>
        <w:rPr>
          <w:rFonts w:hint="eastAsia" w:ascii="Times New Roman" w:hAnsi="Times New Roman" w:eastAsia="仿宋_GB2312" w:cs="Times New Roman"/>
          <w:color w:val="auto"/>
          <w:sz w:val="32"/>
          <w:szCs w:val="32"/>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atLeast"/>
        <w:ind w:left="0" w:right="0" w:rightChars="0" w:firstLine="640" w:firstLineChars="20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420" w:rightChars="200" w:firstLine="0" w:firstLineChars="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国家税务总局罗甸县税务局</w:t>
      </w:r>
    </w:p>
    <w:p>
      <w:pPr>
        <w:keepNext w:val="0"/>
        <w:keepLines w:val="0"/>
        <w:pageBreakBefore w:val="0"/>
        <w:widowControl w:val="0"/>
        <w:kinsoku/>
        <w:wordWrap/>
        <w:overflowPunct/>
        <w:topLinePunct w:val="0"/>
        <w:autoSpaceDE/>
        <w:autoSpaceDN/>
        <w:bidi w:val="0"/>
        <w:adjustRightInd/>
        <w:snapToGrid/>
        <w:spacing w:line="240" w:lineRule="auto"/>
        <w:ind w:right="840" w:rightChars="400"/>
        <w:jc w:val="right"/>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年1月</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日</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308921-DAF6-42F4-A975-DBBFDB0F9A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6344700-EABA-45D4-9729-F600204618F4}"/>
  </w:font>
  <w:font w:name="方正小标宋简体">
    <w:panose1 w:val="02000000000000000000"/>
    <w:charset w:val="86"/>
    <w:family w:val="auto"/>
    <w:pitch w:val="default"/>
    <w:sig w:usb0="00000001" w:usb1="08000000" w:usb2="00000000" w:usb3="00000000" w:csb0="00040000" w:csb1="00000000"/>
    <w:embedRegular r:id="rId3" w:fontKey="{9B961A08-17DE-474A-AD93-7D38B1E6FF63}"/>
  </w:font>
  <w:font w:name="仿宋_GB2312">
    <w:panose1 w:val="02010609030101010101"/>
    <w:charset w:val="86"/>
    <w:family w:val="auto"/>
    <w:pitch w:val="default"/>
    <w:sig w:usb0="00000001" w:usb1="080E0000" w:usb2="00000000" w:usb3="00000000" w:csb0="00040000" w:csb1="00000000"/>
    <w:embedRegular r:id="rId4" w:fontKey="{2BB89D4E-9639-49EE-8A56-5B60A72B4850}"/>
  </w:font>
  <w:font w:name="楷体_GB2312">
    <w:altName w:val="楷体"/>
    <w:panose1 w:val="02010609030101010101"/>
    <w:charset w:val="86"/>
    <w:family w:val="modern"/>
    <w:pitch w:val="default"/>
    <w:sig w:usb0="00000000" w:usb1="00000000" w:usb2="00000000" w:usb3="00000000" w:csb0="00040000" w:csb1="00000000"/>
    <w:embedRegular r:id="rId5" w:fontKey="{123F34C5-A518-4617-838D-E995609F933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NGVkMWE1OTZjN2MzNGFjNTFhNGI2NzYwZjRiZDIifQ=="/>
    <w:docVar w:name="KSO_WPS_MARK_KEY" w:val="75dcd766-74ea-4045-bab9-58a2056e3933"/>
  </w:docVars>
  <w:rsids>
    <w:rsidRoot w:val="22356665"/>
    <w:rsid w:val="032B0A93"/>
    <w:rsid w:val="06746509"/>
    <w:rsid w:val="06C073CF"/>
    <w:rsid w:val="06F34D0F"/>
    <w:rsid w:val="0B4027AE"/>
    <w:rsid w:val="0DD751C0"/>
    <w:rsid w:val="0FA609B7"/>
    <w:rsid w:val="0FB21A88"/>
    <w:rsid w:val="109814F6"/>
    <w:rsid w:val="120A15A1"/>
    <w:rsid w:val="121B4561"/>
    <w:rsid w:val="12EC1DC3"/>
    <w:rsid w:val="14212B01"/>
    <w:rsid w:val="1A384751"/>
    <w:rsid w:val="1ABD16E8"/>
    <w:rsid w:val="1B814963"/>
    <w:rsid w:val="1E4E42B7"/>
    <w:rsid w:val="1F3274B2"/>
    <w:rsid w:val="1F4356BF"/>
    <w:rsid w:val="1FA075A3"/>
    <w:rsid w:val="1FD75F4C"/>
    <w:rsid w:val="1FD8788F"/>
    <w:rsid w:val="21625035"/>
    <w:rsid w:val="21FA017B"/>
    <w:rsid w:val="22356665"/>
    <w:rsid w:val="231E73AD"/>
    <w:rsid w:val="2869678B"/>
    <w:rsid w:val="2B15651F"/>
    <w:rsid w:val="2D433DBA"/>
    <w:rsid w:val="2F524570"/>
    <w:rsid w:val="30EE3222"/>
    <w:rsid w:val="31C5268B"/>
    <w:rsid w:val="326F1388"/>
    <w:rsid w:val="329C1D8D"/>
    <w:rsid w:val="33F355AD"/>
    <w:rsid w:val="349B6DB6"/>
    <w:rsid w:val="38A67B68"/>
    <w:rsid w:val="39342D32"/>
    <w:rsid w:val="3B795DA5"/>
    <w:rsid w:val="3CB5609A"/>
    <w:rsid w:val="42305AB5"/>
    <w:rsid w:val="42F16DAC"/>
    <w:rsid w:val="46357ED2"/>
    <w:rsid w:val="46C05DC5"/>
    <w:rsid w:val="4816190B"/>
    <w:rsid w:val="4B3F4518"/>
    <w:rsid w:val="4B682F14"/>
    <w:rsid w:val="4B9E35FB"/>
    <w:rsid w:val="4CEC527D"/>
    <w:rsid w:val="4E731574"/>
    <w:rsid w:val="4FCB7492"/>
    <w:rsid w:val="53C901DE"/>
    <w:rsid w:val="558D2D48"/>
    <w:rsid w:val="573C32A0"/>
    <w:rsid w:val="59B83606"/>
    <w:rsid w:val="59EF55DA"/>
    <w:rsid w:val="5A534622"/>
    <w:rsid w:val="5BD4201F"/>
    <w:rsid w:val="5C4F69E8"/>
    <w:rsid w:val="5C85716A"/>
    <w:rsid w:val="5D387293"/>
    <w:rsid w:val="60AE4CC0"/>
    <w:rsid w:val="62945205"/>
    <w:rsid w:val="691432A5"/>
    <w:rsid w:val="6C056EB8"/>
    <w:rsid w:val="6EF65DB3"/>
    <w:rsid w:val="6F812396"/>
    <w:rsid w:val="71BB1284"/>
    <w:rsid w:val="72E82E40"/>
    <w:rsid w:val="738935CB"/>
    <w:rsid w:val="743A04A9"/>
    <w:rsid w:val="7497624A"/>
    <w:rsid w:val="74CA4354"/>
    <w:rsid w:val="75D1290D"/>
    <w:rsid w:val="78DB51F6"/>
    <w:rsid w:val="7C6133C1"/>
    <w:rsid w:val="7D332EBB"/>
    <w:rsid w:val="7D89075C"/>
    <w:rsid w:val="7FC0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2021-11-15T09:27:00Z</dcterms:created>
  <dc:creator>罗甸县税务局收文员</dc:creator>
  <cp:lastModifiedBy>扁扁岳萌芽</cp:lastModifiedBy>
  <dcterms:modified xsi:type="dcterms:W3CDTF">2024-02-28T09:18:57Z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F111E91BB0C0431F953C28333EF1E8E4_13</vt:lpwstr>
  </property>
</Properties>
</file>