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国家税务总局瓮安县税务局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shd w:val="clea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根据《中华人民共和国政府信息公开条例》（国务院令第</w:t>
      </w:r>
      <w:r>
        <w:rPr>
          <w:rFonts w:hint="eastAsia" w:ascii="仿宋_GB2312" w:hAnsi="仿宋_GB2312" w:eastAsia="仿宋_GB2312" w:cs="仿宋_GB2312"/>
          <w:sz w:val="32"/>
          <w:szCs w:val="32"/>
          <w:lang w:val="en-US" w:eastAsia="zh-CN"/>
        </w:rPr>
        <w:t>771号）和</w:t>
      </w:r>
      <w:r>
        <w:rPr>
          <w:rFonts w:hint="eastAsia" w:ascii="仿宋_GB2312" w:hAnsi="仿宋_GB2312" w:eastAsia="仿宋_GB2312" w:cs="仿宋_GB2312"/>
          <w:sz w:val="32"/>
          <w:szCs w:val="32"/>
          <w:lang w:eastAsia="zh-CN"/>
        </w:rPr>
        <w:t>《国务院办公厅政府信息与政务公开办公室关于印发</w:t>
      </w:r>
      <w:r>
        <w:rPr>
          <w:rFonts w:hint="eastAsia" w:ascii="宋体" w:hAnsi="宋体" w:eastAsia="宋体" w:cs="宋体"/>
          <w:sz w:val="32"/>
          <w:szCs w:val="32"/>
          <w:lang w:eastAsia="zh-CN"/>
        </w:rPr>
        <w:t>&lt;</w:t>
      </w:r>
      <w:r>
        <w:rPr>
          <w:rFonts w:hint="eastAsia" w:ascii="仿宋_GB2312" w:hAnsi="仿宋_GB2312" w:eastAsia="仿宋_GB2312" w:cs="仿宋_GB2312"/>
          <w:sz w:val="32"/>
          <w:szCs w:val="32"/>
          <w:lang w:eastAsia="zh-CN"/>
        </w:rPr>
        <w:t>中华人民共和国政府信息公开工作年度报告格式</w:t>
      </w:r>
      <w:r>
        <w:rPr>
          <w:rFonts w:hint="eastAsia" w:ascii="宋体" w:hAnsi="宋体" w:eastAsia="宋体" w:cs="宋体"/>
          <w:sz w:val="32"/>
          <w:szCs w:val="32"/>
          <w:lang w:eastAsia="zh-CN"/>
        </w:rPr>
        <w:t>&gt;</w:t>
      </w:r>
      <w:r>
        <w:rPr>
          <w:rFonts w:hint="eastAsia" w:ascii="仿宋_GB2312" w:hAnsi="仿宋_GB2312" w:eastAsia="仿宋_GB2312" w:cs="仿宋_GB2312"/>
          <w:sz w:val="32"/>
          <w:szCs w:val="32"/>
          <w:lang w:eastAsia="zh-CN"/>
        </w:rPr>
        <w:t>的通知》（国办公开办函〔</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30号）要求，现公布国家税务总局瓮安县税务局2023年政府信息公开工作年度报告。</w:t>
      </w:r>
      <w:r>
        <w:rPr>
          <w:rFonts w:hint="eastAsia" w:ascii="仿宋_GB2312" w:hAnsi="仿宋_GB2312" w:eastAsia="仿宋_GB2312" w:cs="仿宋_GB2312"/>
          <w:sz w:val="32"/>
          <w:szCs w:val="32"/>
          <w:lang w:eastAsia="zh-CN"/>
        </w:rPr>
        <w:t>本报告内容包括总体情况、主动公开政府信息情况、收到和处理政府信息公开申请情况、政府信息公开行政复议及行政诉讼情况、存在的主要问题及改进情况、其他需要报告的事项六个部分组成，报告中的数据</w:t>
      </w:r>
      <w:r>
        <w:rPr>
          <w:rFonts w:hint="eastAsia" w:ascii="仿宋_GB2312" w:hAnsi="仿宋_GB2312" w:eastAsia="仿宋_GB2312" w:cs="仿宋_GB2312"/>
          <w:sz w:val="32"/>
          <w:szCs w:val="32"/>
          <w:lang w:val="en-US" w:eastAsia="zh-CN"/>
        </w:rPr>
        <w:t>统计时间为2023年1月1日起至2023年12月31日止。如对本报告有疑问，请联系</w:t>
      </w:r>
      <w:r>
        <w:rPr>
          <w:rFonts w:hint="eastAsia" w:ascii="仿宋_GB2312" w:hAnsi="仿宋_GB2312" w:eastAsia="仿宋_GB2312" w:cs="仿宋_GB2312"/>
          <w:sz w:val="32"/>
          <w:szCs w:val="32"/>
          <w:lang w:eastAsia="zh-CN"/>
        </w:rPr>
        <w:t>国家税务总局瓮安县税务局办公室（地址：贵州省黔南州瓮安县雍阳街道办事处河滨社区税务局大楼</w:t>
      </w: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lang w:eastAsia="zh-CN"/>
        </w:rPr>
        <w:t>，邮编：</w:t>
      </w:r>
      <w:r>
        <w:rPr>
          <w:rFonts w:hint="eastAsia" w:ascii="仿宋_GB2312" w:hAnsi="仿宋_GB2312" w:eastAsia="仿宋_GB2312" w:cs="仿宋_GB2312"/>
          <w:sz w:val="32"/>
          <w:szCs w:val="32"/>
          <w:lang w:val="en-US" w:eastAsia="zh-CN"/>
        </w:rPr>
        <w:t>550400，联系电话：0854-2919866</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国家税务总局瓮安县税务局坚持以习近平新时代中国特色社会主义思想为指导，认真贯彻落实《中华人民共和国政府信息公开条例》（以下简称《条例》）的各项要求，紧密结合税收工作实际，积极推动政府信息公开工作，及时准确地向公众公开各项决策部署。</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主动公开情况。</w:t>
      </w:r>
      <w:r>
        <w:rPr>
          <w:rFonts w:hint="eastAsia" w:ascii="仿宋_GB2312" w:hAnsi="仿宋_GB2312" w:eastAsia="仿宋_GB2312" w:cs="仿宋_GB2312"/>
          <w:sz w:val="32"/>
          <w:szCs w:val="32"/>
          <w:lang w:val="en-US" w:eastAsia="zh-CN"/>
        </w:rPr>
        <w:t>通过税企互动平台开展税收政策解读32场次，观看人次6423人次；通过学习兴税APP、贵州新闻联播、贵州6台、贵州日报、动静新闻、知行GZ、天眼新闻、上级税务局门户网站及微信公众号等宣传税收工作动态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103条</w:t>
      </w:r>
      <w:r>
        <w:rPr>
          <w:rFonts w:hint="eastAsia" w:ascii="仿宋_GB2312" w:hAnsi="仿宋_GB2312" w:eastAsia="仿宋_GB2312" w:cs="仿宋_GB2312"/>
          <w:sz w:val="32"/>
          <w:szCs w:val="32"/>
          <w:lang w:val="en-US" w:eastAsia="zh-CN"/>
        </w:rPr>
        <w:t>；通过瓮安县人民政府门户网站公开2022年行政执法工作、2022年法治政府建设工作、税务事项通知书等8次。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（二）依申请公开情况。</w:t>
      </w:r>
      <w:r>
        <w:rPr>
          <w:rFonts w:hint="eastAsia" w:ascii="仿宋_GB2312" w:hAnsi="仿宋_GB2312" w:eastAsia="仿宋_GB2312" w:cs="仿宋_GB2312"/>
          <w:sz w:val="32"/>
          <w:szCs w:val="32"/>
          <w:lang w:val="en-US" w:eastAsia="zh-CN"/>
        </w:rPr>
        <w:t>全年未收到依申请公开件。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（三）政府信息管理情况。</w:t>
      </w:r>
      <w:r>
        <w:rPr>
          <w:rFonts w:hint="eastAsia" w:ascii="仿宋_GB2312" w:hAnsi="仿宋_GB2312" w:eastAsia="仿宋_GB2312" w:cs="仿宋_GB2312"/>
          <w:sz w:val="32"/>
          <w:szCs w:val="32"/>
          <w:lang w:val="en-US" w:eastAsia="zh-CN"/>
        </w:rPr>
        <w:t>遵循“先审批、后发布”“谁主办、谁负责”的原则，严格落实“一事一审”制度和“三审”制度，对拟公开的政府信息进行严格审查，把好政府信息公开的政治关、保密关和舆情关，不断规范政府信息公开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（四）政府信息公开平台建设情况。</w:t>
      </w:r>
      <w:r>
        <w:rPr>
          <w:rFonts w:hint="eastAsia" w:ascii="仿宋_GB2312" w:hAnsi="仿宋_GB2312" w:eastAsia="仿宋_GB2312" w:cs="仿宋_GB2312"/>
          <w:sz w:val="32"/>
          <w:szCs w:val="32"/>
          <w:lang w:val="en-US" w:eastAsia="zh-CN"/>
        </w:rPr>
        <w:t>积极依托瓮安县人民政府及上级税务局门户网站、贵州日报、动静贵州、天眼新闻、税企互动平台等网络媒体开展税费政策解读和税收工作动态宣传。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（五）监督保障情况。</w:t>
      </w:r>
      <w:r>
        <w:rPr>
          <w:rFonts w:hint="eastAsia" w:ascii="仿宋_GB2312" w:hAnsi="仿宋_GB2312" w:eastAsia="仿宋_GB2312" w:cs="仿宋_GB2312"/>
          <w:sz w:val="32"/>
          <w:szCs w:val="32"/>
          <w:lang w:val="en-US" w:eastAsia="zh-CN"/>
        </w:rPr>
        <w:t>不断完善政务公开工作机制，结合岗位调整情况，及时明确责任部门和责任人，改进工作程序，加强跟踪督办，确保政务公开各项工作落实到位。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8"/>
        <w:tblpPr w:leftFromText="180" w:rightFromText="180" w:vertAnchor="text" w:horzAnchor="page" w:tblpX="1160" w:tblpY="121"/>
        <w:tblOverlap w:val="never"/>
        <w:tblW w:w="9740" w:type="dxa"/>
        <w:tblInd w:w="0" w:type="dxa"/>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第二十条第（一）项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本年制发件数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现行有效件数</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第二十条第（五）项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本年处理决定数量</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622</w:t>
            </w:r>
          </w:p>
        </w:tc>
      </w:tr>
      <w:tr>
        <w:tblPrEx>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第二十条第（六）项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本年处理决定数量</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350</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第二十条第（八）项</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本年收费金额（单位：万元）</w:t>
            </w:r>
          </w:p>
        </w:tc>
      </w:tr>
      <w:tr>
        <w:tblPrEx>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40" w:firstLineChars="200"/>
              <w:textAlignment w:val="auto"/>
              <w:rPr>
                <w:rFonts w:hint="eastAsia" w:ascii="黑体" w:hAnsi="黑体" w:eastAsia="黑体" w:cs="黑体"/>
                <w:sz w:val="32"/>
                <w:szCs w:val="32"/>
                <w:lang w:eastAsia="zh-CN"/>
              </w:rPr>
            </w:pPr>
            <w:r>
              <w:rPr>
                <w:rFonts w:hint="eastAsia" w:ascii="宋体" w:hAnsi="宋体" w:eastAsia="宋体" w:cs="宋体"/>
                <w:kern w:val="0"/>
                <w:sz w:val="22"/>
                <w:highlight w:val="none"/>
                <w:lang w:eastAsia="zh-CN"/>
              </w:rPr>
              <w:t>行政事业性收费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3520" w:firstLineChars="1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8"/>
        <w:tblW w:w="9748" w:type="dxa"/>
        <w:jc w:val="center"/>
        <w:tblLayout w:type="autofit"/>
        <w:tblCellMar>
          <w:top w:w="15" w:type="dxa"/>
          <w:left w:w="15" w:type="dxa"/>
          <w:bottom w:w="15" w:type="dxa"/>
          <w:right w:w="15" w:type="dxa"/>
        </w:tblCellMar>
      </w:tblPr>
      <w:tblGrid>
        <w:gridCol w:w="766"/>
        <w:gridCol w:w="944"/>
        <w:gridCol w:w="3187"/>
        <w:gridCol w:w="693"/>
        <w:gridCol w:w="693"/>
        <w:gridCol w:w="693"/>
        <w:gridCol w:w="693"/>
        <w:gridCol w:w="693"/>
        <w:gridCol w:w="693"/>
        <w:gridCol w:w="693"/>
      </w:tblGrid>
      <w:tr>
        <w:tblPrEx>
          <w:tblCellMar>
            <w:top w:w="15" w:type="dxa"/>
            <w:left w:w="15" w:type="dxa"/>
            <w:bottom w:w="15" w:type="dxa"/>
            <w:right w:w="15" w:type="dxa"/>
          </w:tblCellMar>
        </w:tblPrEx>
        <w:trPr>
          <w:jc w:val="center"/>
        </w:trPr>
        <w:tc>
          <w:tcPr>
            <w:tcW w:w="4897"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（本列数据的勾稽关系为：第一项加第二项之和，等于第三项加第四项之和）</w:t>
            </w:r>
          </w:p>
        </w:tc>
        <w:tc>
          <w:tcPr>
            <w:tcW w:w="4851"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693"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法人或其他组织</w:t>
            </w:r>
          </w:p>
        </w:tc>
        <w:tc>
          <w:tcPr>
            <w:tcW w:w="693" w:type="dxa"/>
            <w:vMerge w:val="restart"/>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0" w:type="auto"/>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商业企业</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科研机构</w:t>
            </w:r>
          </w:p>
        </w:tc>
        <w:tc>
          <w:tcPr>
            <w:tcW w:w="693"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社会公益组织</w:t>
            </w:r>
          </w:p>
        </w:tc>
        <w:tc>
          <w:tcPr>
            <w:tcW w:w="693"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法律服务机构</w:t>
            </w:r>
          </w:p>
        </w:tc>
        <w:tc>
          <w:tcPr>
            <w:tcW w:w="693"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其他</w:t>
            </w:r>
          </w:p>
        </w:tc>
        <w:tc>
          <w:tcPr>
            <w:tcW w:w="0" w:type="auto"/>
            <w:vMerge w:val="continue"/>
            <w:tcBorders>
              <w:top w:val="single" w:color="auto" w:sz="8" w:space="0"/>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r>
      <w:tr>
        <w:tblPrEx>
          <w:tblCellMar>
            <w:top w:w="15" w:type="dxa"/>
            <w:left w:w="15" w:type="dxa"/>
            <w:bottom w:w="15" w:type="dxa"/>
            <w:right w:w="15" w:type="dxa"/>
          </w:tblCellMar>
        </w:tblPrEx>
        <w:trPr>
          <w:jc w:val="center"/>
        </w:trPr>
        <w:tc>
          <w:tcPr>
            <w:tcW w:w="4897"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一、本年新收政府信息公开申请数量</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4897"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二、上年结转政府信息公开申请数量</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766"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三、本年度办理结果</w:t>
            </w:r>
          </w:p>
        </w:tc>
        <w:tc>
          <w:tcPr>
            <w:tcW w:w="413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（一）予以公开</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413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（二）部分公开（区分处理的，只计这一情形，不计其他情形）</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94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（三）不予公开</w:t>
            </w: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1.属于国家秘密</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2.其他法律行政法规禁止公开</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3.危及“三安全一稳定”</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4.保护第三方合法权益</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5.属于三类内部事务信息</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6.属于四类过程性信息</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7.属于行政执法案卷</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8.属于行政查询事项</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94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（四）无法提供</w:t>
            </w: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1.本机关不掌握相关政府信息</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2.没有现成信息需要另行制作</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3.补正后申请内容仍不明确</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94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（五）不予处理</w:t>
            </w: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1.信访举报投诉类申请</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2.重复申请</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3.要求提供公开出版物</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4.无正当理由大量反复申请</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5.要求行政机关确认或重新出具已获取信息</w:t>
            </w:r>
          </w:p>
        </w:tc>
        <w:tc>
          <w:tcPr>
            <w:tcW w:w="693"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944"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（六）其他处理</w:t>
            </w: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1.申请人无正当理由逾期不补正、行政机关不再处理其政府信息公开申请</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2.申请人逾期未按收费通知要求缴纳费用、行政机关不再处理其政府信息公开申请</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0" w:type="auto"/>
            <w:vMerge w:val="continue"/>
            <w:tcBorders>
              <w:top w:val="nil"/>
              <w:left w:val="nil"/>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318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3.其他</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p>
        </w:tc>
        <w:tc>
          <w:tcPr>
            <w:tcW w:w="413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（七）总计</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r>
        <w:tblPrEx>
          <w:tblCellMar>
            <w:top w:w="15" w:type="dxa"/>
            <w:left w:w="15" w:type="dxa"/>
            <w:bottom w:w="15" w:type="dxa"/>
            <w:right w:w="15" w:type="dxa"/>
          </w:tblCellMar>
        </w:tblPrEx>
        <w:trPr>
          <w:jc w:val="center"/>
        </w:trPr>
        <w:tc>
          <w:tcPr>
            <w:tcW w:w="4897"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四、结转下年度继续办理</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c>
          <w:tcPr>
            <w:tcW w:w="693"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bidi="ar-SA"/>
              </w:rPr>
            </w:pPr>
            <w:r>
              <w:rPr>
                <w:rFonts w:hint="eastAsia" w:ascii="宋体" w:hAnsi="宋体" w:eastAsia="宋体" w:cs="宋体"/>
                <w:kern w:val="0"/>
                <w:sz w:val="32"/>
                <w:szCs w:val="32"/>
                <w:highlight w:val="none"/>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8"/>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行政复议</w:t>
            </w:r>
          </w:p>
        </w:tc>
        <w:tc>
          <w:tcPr>
            <w:tcW w:w="642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行政诉讼</w:t>
            </w:r>
          </w:p>
        </w:tc>
      </w:tr>
      <w:tr>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结果维持</w:t>
            </w:r>
          </w:p>
        </w:tc>
        <w:tc>
          <w:tcPr>
            <w:tcW w:w="64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结果纠正</w:t>
            </w:r>
          </w:p>
        </w:tc>
        <w:tc>
          <w:tcPr>
            <w:tcW w:w="64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其他结果</w:t>
            </w:r>
          </w:p>
        </w:tc>
        <w:tc>
          <w:tcPr>
            <w:tcW w:w="64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尚未审结</w:t>
            </w:r>
          </w:p>
        </w:tc>
        <w:tc>
          <w:tcPr>
            <w:tcW w:w="64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总计</w:t>
            </w:r>
          </w:p>
        </w:tc>
        <w:tc>
          <w:tcPr>
            <w:tcW w:w="321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未经复议直接起诉</w:t>
            </w:r>
          </w:p>
        </w:tc>
        <w:tc>
          <w:tcPr>
            <w:tcW w:w="321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0" w:type="auto"/>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0" w:type="auto"/>
            <w:vMerge w:val="continue"/>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结果维持</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结果纠正</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其他结果</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尚未审结</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总计</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结果维持</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结果纠正</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其他结果</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尚未审结</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eastAsia="宋体" w:cs="宋体"/>
                <w:kern w:val="0"/>
                <w:sz w:val="32"/>
                <w:szCs w:val="32"/>
                <w:highlight w:val="none"/>
              </w:rPr>
            </w:pPr>
            <w:r>
              <w:rPr>
                <w:rFonts w:hint="eastAsia" w:ascii="宋体" w:hAnsi="宋体" w:eastAsia="宋体" w:cs="宋体"/>
                <w:kern w:val="0"/>
                <w:sz w:val="22"/>
                <w:highlight w:val="none"/>
              </w:rPr>
              <w:t>总计</w:t>
            </w:r>
          </w:p>
        </w:tc>
      </w:tr>
      <w:tr>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经梳理，政府信息公开工作还存在一些不足，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公开内容不够全面；</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队伍水平有待提高。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本局将坚持以习近平新时代中国特色社会主义思想为指导，遵循依法公开、真实公开的原则，加强对相关队伍的培训，全面、准确、及时、有效公开有关信息，以公开促落实、以公开促规范、以公开促服务，不断推动政府信息公开工作迈上新台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本局没有收取信息处理费的情况。</w:t>
      </w:r>
    </w:p>
    <w:p>
      <w:pPr>
        <w:keepNext w:val="0"/>
        <w:keepLines w:val="0"/>
        <w:pageBreakBefore w:val="0"/>
        <w:widowControl/>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lang w:val="en-US" w:eastAsia="zh-CN"/>
        </w:rPr>
      </w:pPr>
      <w:bookmarkStart w:id="0" w:name="_GoBack"/>
      <w:bookmarkEnd w:id="0"/>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国家税务总局瓮安县税务局</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2024年1月24日</w:t>
      </w:r>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C33A00-A14C-445A-80E4-00F177967F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2" w:fontKey="{008A3423-56F6-4D2D-894C-3CD04F94617E}"/>
  </w:font>
  <w:font w:name="方正小标宋简体">
    <w:panose1 w:val="02000000000000000000"/>
    <w:charset w:val="86"/>
    <w:family w:val="auto"/>
    <w:pitch w:val="default"/>
    <w:sig w:usb0="00000001" w:usb1="080E0000" w:usb2="00000000" w:usb3="00000000" w:csb0="00040000" w:csb1="00000000"/>
    <w:embedRegular r:id="rId3" w:fontKey="{B9491576-B3CE-44CB-A06C-4B5B3302C015}"/>
  </w:font>
  <w:font w:name="仿宋_GB2312">
    <w:panose1 w:val="02010609030101010101"/>
    <w:charset w:val="86"/>
    <w:family w:val="auto"/>
    <w:pitch w:val="default"/>
    <w:sig w:usb0="00000001" w:usb1="080E0000" w:usb2="00000000" w:usb3="00000000" w:csb0="00040000" w:csb1="00000000"/>
    <w:embedRegular r:id="rId4" w:fontKey="{B5D1DEDF-0833-4A4B-A720-99C405711114}"/>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501B6"/>
    <w:multiLevelType w:val="singleLevel"/>
    <w:tmpl w:val="CED501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ZDg0NGYxNGEyNTE1Y2NhZjc4ZjNiYWYyM2NiOTIifQ=="/>
    <w:docVar w:name="KSO_WPS_MARK_KEY" w:val="4124ae64-c391-410d-bcf6-a719395821fd"/>
  </w:docVars>
  <w:rsids>
    <w:rsidRoot w:val="00B24AC9"/>
    <w:rsid w:val="00236607"/>
    <w:rsid w:val="00B24AC9"/>
    <w:rsid w:val="00E70A98"/>
    <w:rsid w:val="011E0E92"/>
    <w:rsid w:val="05D01202"/>
    <w:rsid w:val="0C9143D2"/>
    <w:rsid w:val="0D890E49"/>
    <w:rsid w:val="0E3C09C7"/>
    <w:rsid w:val="0EBF34D9"/>
    <w:rsid w:val="0FB82F1D"/>
    <w:rsid w:val="100A107C"/>
    <w:rsid w:val="1592552A"/>
    <w:rsid w:val="16F130D0"/>
    <w:rsid w:val="18C3176E"/>
    <w:rsid w:val="195E3E2F"/>
    <w:rsid w:val="1B9E6C43"/>
    <w:rsid w:val="1F531830"/>
    <w:rsid w:val="1FB625B4"/>
    <w:rsid w:val="1FB9413B"/>
    <w:rsid w:val="20F11BA5"/>
    <w:rsid w:val="22B22E82"/>
    <w:rsid w:val="257B0C0B"/>
    <w:rsid w:val="25B07AF8"/>
    <w:rsid w:val="27DE73DC"/>
    <w:rsid w:val="2AD2089E"/>
    <w:rsid w:val="2FBE1EF6"/>
    <w:rsid w:val="32F61B79"/>
    <w:rsid w:val="338721AA"/>
    <w:rsid w:val="347A3D2C"/>
    <w:rsid w:val="35B009AA"/>
    <w:rsid w:val="379137DC"/>
    <w:rsid w:val="38B50FAC"/>
    <w:rsid w:val="3BC26BD8"/>
    <w:rsid w:val="3BE27ABC"/>
    <w:rsid w:val="3D4C0A92"/>
    <w:rsid w:val="405C1C7D"/>
    <w:rsid w:val="412938B2"/>
    <w:rsid w:val="47C3135E"/>
    <w:rsid w:val="47DA14B7"/>
    <w:rsid w:val="48DA5DF9"/>
    <w:rsid w:val="4B0F71D2"/>
    <w:rsid w:val="4CC9188F"/>
    <w:rsid w:val="4CF71E80"/>
    <w:rsid w:val="4DB658D5"/>
    <w:rsid w:val="511D193B"/>
    <w:rsid w:val="515A76BB"/>
    <w:rsid w:val="5251126C"/>
    <w:rsid w:val="53517EE8"/>
    <w:rsid w:val="564360B0"/>
    <w:rsid w:val="58293975"/>
    <w:rsid w:val="59337C16"/>
    <w:rsid w:val="5A8D0C06"/>
    <w:rsid w:val="5B5A74CD"/>
    <w:rsid w:val="5D224739"/>
    <w:rsid w:val="5EA46CBE"/>
    <w:rsid w:val="5ED30E55"/>
    <w:rsid w:val="60343366"/>
    <w:rsid w:val="619E0633"/>
    <w:rsid w:val="61C7612A"/>
    <w:rsid w:val="638C0C9F"/>
    <w:rsid w:val="645746B1"/>
    <w:rsid w:val="651B428D"/>
    <w:rsid w:val="652C3A95"/>
    <w:rsid w:val="6A2120C8"/>
    <w:rsid w:val="6B313C90"/>
    <w:rsid w:val="6B422314"/>
    <w:rsid w:val="6B613A3D"/>
    <w:rsid w:val="6CB4365F"/>
    <w:rsid w:val="6EF156B6"/>
    <w:rsid w:val="72A5310B"/>
    <w:rsid w:val="752A1CEC"/>
    <w:rsid w:val="76965CCC"/>
    <w:rsid w:val="76E56D7A"/>
    <w:rsid w:val="7A560AEC"/>
    <w:rsid w:val="7C21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楷体_GB2312" w:cs="Times New Roman"/>
      <w:kern w:val="2"/>
      <w:sz w:val="21"/>
      <w:lang w:val="en-US" w:eastAsia="zh-CN" w:bidi="ar-SA"/>
    </w:rPr>
  </w:style>
  <w:style w:type="paragraph" w:styleId="4">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alloon Text"/>
    <w:basedOn w:val="1"/>
    <w:next w:val="1"/>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208</Words>
  <Characters>1191</Characters>
  <Lines>9</Lines>
  <Paragraphs>2</Paragraphs>
  <TotalTime>13</TotalTime>
  <ScaleCrop>false</ScaleCrop>
  <LinksUpToDate>false</LinksUpToDate>
  <CharactersWithSpaces>1397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2022-01-20T02:40:00Z</dcterms:created>
  <dc:creator>AutoBVT</dc:creator>
  <cp:lastModifiedBy>轻寒QH</cp:lastModifiedBy>
  <dcterms:modified xsi:type="dcterms:W3CDTF">2024-01-30T09:45:07Z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DEBF09EBF1324020B0F5068CE230E5CC</vt:lpwstr>
  </property>
</Properties>
</file>