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国家税务总局平塘县税务局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202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autoSpaceDE/>
        <w:autoSpaceDN/>
        <w:bidi w:val="0"/>
        <w:adjustRightInd/>
        <w:snapToGrid/>
        <w:spacing w:line="600" w:lineRule="exact"/>
        <w:ind w:firstLine="656" w:firstLineChars="200"/>
        <w:jc w:val="both"/>
        <w:textAlignment w:val="auto"/>
        <w:rPr>
          <w:rFonts w:hint="eastAsia" w:ascii="仿宋_GB2312" w:eastAsia="仿宋_GB2312"/>
          <w:color w:val="000000"/>
          <w:spacing w:val="4"/>
          <w:sz w:val="32"/>
          <w:szCs w:val="32"/>
        </w:rPr>
      </w:pPr>
      <w:r>
        <w:rPr>
          <w:rFonts w:hint="eastAsia" w:ascii="仿宋_GB2312" w:eastAsia="仿宋_GB2312"/>
          <w:color w:val="000000"/>
          <w:spacing w:val="4"/>
          <w:sz w:val="32"/>
          <w:szCs w:val="32"/>
        </w:rPr>
        <w:t>本报告根据《中华人民共和国政府信息公开条例》等要求编制。全文包括总体情况、主动公开政府信息情况、收到和处理政府信息公开申请情况、政府信息公开行政复议、行政诉讼情况、存在的主要问题及改进情况和其他需要报告的事项。报告中所列数据为国家税务总局平塘县税务局的2023年整年数据，统计期限自2023年1月1日起至2023年12月31日止。报告电子版可在国家税务总局贵州省税务局网站（http://guizhou.chinatax.gov.cn/）查阅。如有疑问请致电国家税务总局平塘县税务局（联系电话：0854</w:t>
      </w:r>
      <w:r>
        <w:rPr>
          <w:rFonts w:hint="eastAsia" w:ascii="仿宋_GB2312" w:eastAsia="仿宋_GB2312"/>
          <w:color w:val="000000"/>
          <w:spacing w:val="4"/>
          <w:sz w:val="32"/>
          <w:szCs w:val="32"/>
          <w:lang w:eastAsia="zh-CN"/>
        </w:rPr>
        <w:t>—</w:t>
      </w:r>
      <w:r>
        <w:rPr>
          <w:rFonts w:hint="eastAsia" w:ascii="仿宋_GB2312" w:eastAsia="仿宋_GB2312"/>
          <w:color w:val="000000"/>
          <w:spacing w:val="4"/>
          <w:sz w:val="32"/>
          <w:szCs w:val="32"/>
        </w:rPr>
        <w:t>7231248），竭诚欢迎您的关注支持和批评监督！</w:t>
      </w:r>
    </w:p>
    <w:p>
      <w:pPr>
        <w:keepNext w:val="0"/>
        <w:keepLines w:val="0"/>
        <w:pageBreakBefore w:val="0"/>
        <w:kinsoku/>
        <w:overflowPunct/>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一、总体情况</w:t>
      </w:r>
    </w:p>
    <w:p>
      <w:pPr>
        <w:keepNext w:val="0"/>
        <w:keepLines w:val="0"/>
        <w:pageBreakBefore w:val="0"/>
        <w:widowControl/>
        <w:shd w:val="clear"/>
        <w:kinsoku/>
        <w:overflowPunct/>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_GB2312" w:eastAsia="仿宋_GB2312" w:hAnsiTheme="minorHAnsi" w:cstheme="minorBidi"/>
          <w:color w:val="000000"/>
          <w:spacing w:val="4"/>
          <w:kern w:val="2"/>
          <w:sz w:val="32"/>
          <w:szCs w:val="32"/>
          <w:lang w:val="en-US" w:eastAsia="zh-CN" w:bidi="ar-SA"/>
        </w:rPr>
      </w:pPr>
      <w:r>
        <w:rPr>
          <w:rFonts w:hint="eastAsia" w:ascii="仿宋_GB2312" w:eastAsia="仿宋_GB2312" w:hAnsiTheme="minorHAnsi" w:cstheme="minorBidi"/>
          <w:color w:val="000000"/>
          <w:spacing w:val="4"/>
          <w:kern w:val="2"/>
          <w:sz w:val="32"/>
          <w:szCs w:val="32"/>
          <w:lang w:val="en-US" w:eastAsia="zh-CN" w:bidi="ar-SA"/>
        </w:rPr>
        <w:t>2023年，国家税务总局平塘县税务局以习近平新时代中国特色社会主义思想为指导，认真贯彻落实党中央、国务院、税务总局、省局、州局及平塘县委县政府关于全面推进政务公开工作的决策部署和《中华人民共和国政府信息公开条例》，健全政府信息公开、政务公开领导体制机制，抗牢压实工作责任，规范公开流程，促进政府信息公开工作有序运转。</w:t>
      </w:r>
    </w:p>
    <w:p>
      <w:pPr>
        <w:keepNext w:val="0"/>
        <w:keepLines w:val="0"/>
        <w:pageBreakBefore w:val="0"/>
        <w:widowControl/>
        <w:kinsoku/>
        <w:overflowPunct/>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（一）主动公开情况</w:t>
      </w:r>
    </w:p>
    <w:p>
      <w:pPr>
        <w:keepNext w:val="0"/>
        <w:keepLines w:val="0"/>
        <w:pageBreakBefore w:val="0"/>
        <w:widowControl/>
        <w:shd w:val="clear"/>
        <w:kinsoku/>
        <w:overflowPunct/>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_GB2312" w:eastAsia="仿宋_GB2312" w:hAnsiTheme="minorHAnsi" w:cstheme="minorBidi"/>
          <w:color w:val="000000"/>
          <w:spacing w:val="4"/>
          <w:kern w:val="2"/>
          <w:sz w:val="32"/>
          <w:szCs w:val="32"/>
          <w:lang w:val="en-US" w:eastAsia="zh-CN" w:bidi="ar-SA"/>
        </w:rPr>
      </w:pPr>
      <w:r>
        <w:rPr>
          <w:rFonts w:hint="eastAsia" w:ascii="仿宋_GB2312" w:eastAsia="仿宋_GB2312" w:hAnsiTheme="minorHAnsi" w:cstheme="minorBidi"/>
          <w:color w:val="000000"/>
          <w:spacing w:val="4"/>
          <w:kern w:val="2"/>
          <w:sz w:val="32"/>
          <w:szCs w:val="32"/>
          <w:lang w:val="en-US" w:eastAsia="zh-CN" w:bidi="ar-SA"/>
        </w:rPr>
        <w:t>全年通过平塘县人民政府网站税收管理专栏公开信息</w:t>
      </w:r>
      <w:r>
        <w:rPr>
          <w:rFonts w:hint="eastAsia" w:ascii="仿宋_GB2312" w:eastAsia="仿宋_GB2312" w:cstheme="minorBidi"/>
          <w:color w:val="000000"/>
          <w:spacing w:val="4"/>
          <w:kern w:val="2"/>
          <w:sz w:val="32"/>
          <w:szCs w:val="32"/>
          <w:lang w:val="en-US" w:eastAsia="zh-CN" w:bidi="ar-SA"/>
        </w:rPr>
        <w:t>47</w:t>
      </w:r>
      <w:r>
        <w:rPr>
          <w:rFonts w:hint="eastAsia" w:ascii="仿宋_GB2312" w:eastAsia="仿宋_GB2312" w:hAnsiTheme="minorHAnsi" w:cstheme="minorBidi"/>
          <w:color w:val="000000"/>
          <w:spacing w:val="4"/>
          <w:kern w:val="2"/>
          <w:sz w:val="32"/>
          <w:szCs w:val="32"/>
          <w:lang w:val="en-US" w:eastAsia="zh-CN" w:bidi="ar-SA"/>
        </w:rPr>
        <w:t>条；通过微信公众号、电视台、报社及各类网络媒体等多渠道开展减税降费政策及落实情况宣传，促进减税降费政策落地生根。2023年，国家税务总局平塘县税务局在媒体及客户端发布新闻稿件共计125篇。</w:t>
      </w:r>
    </w:p>
    <w:p>
      <w:pPr>
        <w:keepNext w:val="0"/>
        <w:keepLines w:val="0"/>
        <w:pageBreakBefore w:val="0"/>
        <w:widowControl/>
        <w:shd w:val="clear"/>
        <w:kinsoku/>
        <w:overflowPunct/>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（二）依申请公开情况</w:t>
      </w:r>
    </w:p>
    <w:p>
      <w:pPr>
        <w:keepNext w:val="0"/>
        <w:keepLines w:val="0"/>
        <w:pageBreakBefore w:val="0"/>
        <w:widowControl/>
        <w:shd w:val="clear"/>
        <w:kinsoku/>
        <w:overflowPunct/>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_GB2312" w:eastAsia="仿宋_GB2312" w:hAnsiTheme="minorHAnsi" w:cstheme="minorBidi"/>
          <w:color w:val="000000"/>
          <w:spacing w:val="4"/>
          <w:kern w:val="2"/>
          <w:sz w:val="32"/>
          <w:szCs w:val="32"/>
          <w:lang w:val="en-US" w:eastAsia="zh-CN" w:bidi="ar-SA"/>
        </w:rPr>
      </w:pPr>
      <w:r>
        <w:rPr>
          <w:rFonts w:hint="eastAsia" w:ascii="仿宋_GB2312" w:eastAsia="仿宋_GB2312" w:hAnsiTheme="minorHAnsi" w:cstheme="minorBidi"/>
          <w:color w:val="000000"/>
          <w:spacing w:val="4"/>
          <w:kern w:val="2"/>
          <w:sz w:val="32"/>
          <w:szCs w:val="32"/>
          <w:lang w:val="en-US" w:eastAsia="zh-CN" w:bidi="ar-SA"/>
        </w:rPr>
        <w:t>2023年，国家税务总局平塘县税务局严格按照上级文件要求，进一步完善依申请公开制度、明确工作责任、加强业务培训，不断提升对依申请公开情况的规范处置能力。2023年，国家税务总局平塘县税务局没有收到政府信息公开申请。</w:t>
      </w:r>
    </w:p>
    <w:p>
      <w:pPr>
        <w:keepNext w:val="0"/>
        <w:keepLines w:val="0"/>
        <w:pageBreakBefore w:val="0"/>
        <w:widowControl/>
        <w:shd w:val="clear"/>
        <w:kinsoku/>
        <w:overflowPunct/>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楷体_GB2312" w:hAnsi="楷体_GB2312" w:eastAsia="楷体_GB2312" w:cs="楷体_GB2312"/>
          <w:color w:val="000000"/>
          <w:kern w:val="0"/>
          <w:sz w:val="32"/>
          <w:szCs w:val="32"/>
          <w:lang w:eastAsia="zh-CN" w:bidi="ar"/>
        </w:rPr>
        <w:t>进一步加强政府信息管理</w:t>
      </w:r>
    </w:p>
    <w:p>
      <w:pPr>
        <w:keepNext w:val="0"/>
        <w:keepLines w:val="0"/>
        <w:pageBreakBefore w:val="0"/>
        <w:widowControl/>
        <w:shd w:val="clear"/>
        <w:kinsoku/>
        <w:overflowPunct/>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_GB2312" w:eastAsia="仿宋_GB2312" w:hAnsiTheme="minorHAnsi" w:cstheme="minorBidi"/>
          <w:color w:val="000000"/>
          <w:spacing w:val="4"/>
          <w:kern w:val="2"/>
          <w:sz w:val="32"/>
          <w:szCs w:val="32"/>
          <w:lang w:val="en-US" w:eastAsia="zh-CN" w:bidi="ar-SA"/>
        </w:rPr>
      </w:pPr>
      <w:r>
        <w:rPr>
          <w:rFonts w:hint="eastAsia" w:ascii="仿宋_GB2312" w:eastAsia="仿宋_GB2312" w:hAnsiTheme="minorHAnsi" w:cstheme="minorBidi"/>
          <w:color w:val="000000"/>
          <w:spacing w:val="4"/>
          <w:kern w:val="2"/>
          <w:sz w:val="32"/>
          <w:szCs w:val="32"/>
          <w:lang w:val="en-US" w:eastAsia="zh-CN" w:bidi="ar-SA"/>
        </w:rPr>
        <w:t>按照“统一协调、分工负责”的原则，成立政府信息公开工作领导小组，领导小组下设办公室，由办公室安排专人负责政府信息公开工作的推动和落实，切实加强对政府信息公开工作的常态化管理和检查。并根据人员岗位变动的情况，及时调整工作网络，构建了更为规范的政府信息公开工作体系。结合绩效考核制度，将政府信息公开工作纳入绩效考评指标，定期对信息公开工作进行检查和评估，促进政府信息公开工作</w:t>
      </w:r>
      <w:r>
        <w:rPr>
          <w:rFonts w:hint="eastAsia" w:ascii="仿宋_GB2312" w:eastAsia="仿宋_GB2312" w:cstheme="minorBidi"/>
          <w:color w:val="000000"/>
          <w:spacing w:val="4"/>
          <w:kern w:val="2"/>
          <w:sz w:val="32"/>
          <w:szCs w:val="32"/>
          <w:lang w:val="en-US" w:eastAsia="zh-CN" w:bidi="ar-SA"/>
        </w:rPr>
        <w:t>稳步</w:t>
      </w:r>
      <w:r>
        <w:rPr>
          <w:rFonts w:hint="eastAsia" w:ascii="仿宋_GB2312" w:eastAsia="仿宋_GB2312" w:hAnsiTheme="minorHAnsi" w:cstheme="minorBidi"/>
          <w:color w:val="000000"/>
          <w:spacing w:val="4"/>
          <w:kern w:val="2"/>
          <w:sz w:val="32"/>
          <w:szCs w:val="32"/>
          <w:lang w:val="en-US" w:eastAsia="zh-CN" w:bidi="ar-SA"/>
        </w:rPr>
        <w:t>推进。</w:t>
      </w:r>
    </w:p>
    <w:p>
      <w:pPr>
        <w:keepNext w:val="0"/>
        <w:keepLines w:val="0"/>
        <w:pageBreakBefore w:val="0"/>
        <w:widowControl/>
        <w:shd w:val="clear"/>
        <w:kinsoku/>
        <w:overflowPunct/>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（四）稳步推进平台建设</w:t>
      </w:r>
    </w:p>
    <w:p>
      <w:pPr>
        <w:keepNext w:val="0"/>
        <w:keepLines w:val="0"/>
        <w:pageBreakBefore w:val="0"/>
        <w:widowControl/>
        <w:shd w:val="clear"/>
        <w:kinsoku/>
        <w:overflowPunct/>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_GB2312" w:eastAsia="仿宋_GB2312" w:hAnsiTheme="minorHAnsi" w:cstheme="minorBidi"/>
          <w:color w:val="000000"/>
          <w:spacing w:val="4"/>
          <w:kern w:val="2"/>
          <w:sz w:val="32"/>
          <w:szCs w:val="32"/>
          <w:lang w:val="en-US" w:eastAsia="zh-CN" w:bidi="ar-SA"/>
        </w:rPr>
      </w:pPr>
      <w:r>
        <w:rPr>
          <w:rFonts w:hint="eastAsia" w:ascii="仿宋_GB2312" w:eastAsia="仿宋_GB2312" w:cstheme="minorBidi"/>
          <w:color w:val="000000"/>
          <w:spacing w:val="4"/>
          <w:kern w:val="2"/>
          <w:sz w:val="32"/>
          <w:szCs w:val="32"/>
          <w:lang w:val="en-US" w:eastAsia="zh-CN" w:bidi="ar-SA"/>
        </w:rPr>
        <w:t>通过官方网站、微信公众号等多种渠道主动公开税务信息，方便公众查询和了解。依托多彩贵州网、新华网贵州频道、黔南日报、黔南州税务局门户网站、黔南州微信公众号、官方抖音，县人民政府网、税企QQ群、办税服务厅等主要载体，及时、客观、准确的公开政务信息，切实增强税收工作透明度。同时针对社会公众普遍关心的税收新政，通过纳税人学堂、直播互动、媒体宣传等多种方式，第一时间告知社会公众。</w:t>
      </w:r>
    </w:p>
    <w:p>
      <w:pPr>
        <w:keepNext w:val="0"/>
        <w:keepLines w:val="0"/>
        <w:pageBreakBefore w:val="0"/>
        <w:kinsoku/>
        <w:overflowPunct/>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二、主动公开政府信息情况</w:t>
      </w:r>
    </w:p>
    <w:tbl>
      <w:tblPr>
        <w:tblStyle w:val="10"/>
        <w:tblW w:w="9740" w:type="dxa"/>
        <w:jc w:val="center"/>
        <w:shd w:val="clear" w:color="auto" w:fill="auto"/>
        <w:tblLayout w:type="autofit"/>
        <w:tblCellMar>
          <w:top w:w="15" w:type="dxa"/>
          <w:left w:w="15" w:type="dxa"/>
          <w:bottom w:w="15" w:type="dxa"/>
          <w:right w:w="15" w:type="dxa"/>
        </w:tblCellMar>
      </w:tblPr>
      <w:tblGrid>
        <w:gridCol w:w="2435"/>
        <w:gridCol w:w="2435"/>
        <w:gridCol w:w="2435"/>
        <w:gridCol w:w="2435"/>
      </w:tblGrid>
      <w:tr>
        <w:tblPrEx>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现行有效件数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Cs w:val="21"/>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0"/>
                <w:szCs w:val="20"/>
                <w:lang w:val="en-US" w:eastAsia="zh-CN"/>
              </w:rPr>
              <w:t>255</w:t>
            </w:r>
          </w:p>
        </w:tc>
      </w:tr>
      <w:tr>
        <w:tblPrEx>
          <w:tblCellMar>
            <w:top w:w="15" w:type="dxa"/>
            <w:left w:w="15" w:type="dxa"/>
            <w:bottom w:w="15" w:type="dxa"/>
            <w:right w:w="15" w:type="dxa"/>
          </w:tblCellMar>
        </w:tblPrEx>
        <w:trPr>
          <w:trHeight w:val="588"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0"/>
                <w:szCs w:val="20"/>
                <w:lang w:val="en-US" w:eastAsia="zh-CN"/>
              </w:rPr>
              <w:t>355</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w:t>
            </w:r>
          </w:p>
        </w:tc>
      </w:tr>
    </w:tbl>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 w:hAnsi="仿宋" w:eastAsia="仿宋" w:cs="宋体"/>
          <w:color w:val="333333"/>
          <w:kern w:val="0"/>
          <w:sz w:val="32"/>
          <w:szCs w:val="32"/>
        </w:rPr>
      </w:pPr>
      <w:bookmarkStart w:id="0" w:name="_GoBack"/>
      <w:r>
        <w:rPr>
          <w:rFonts w:hint="eastAsia" w:ascii="黑体" w:hAnsi="黑体" w:eastAsia="黑体" w:cs="黑体"/>
          <w:color w:val="333333"/>
          <w:kern w:val="0"/>
          <w:sz w:val="32"/>
          <w:szCs w:val="32"/>
        </w:rPr>
        <w:t>三、收到和处理政府信息公开申请情况</w:t>
      </w:r>
    </w:p>
    <w:bookmarkEnd w:id="0"/>
    <w:tbl>
      <w:tblPr>
        <w:tblStyle w:val="10"/>
        <w:tblW w:w="9793" w:type="dxa"/>
        <w:jc w:val="center"/>
        <w:shd w:val="clear" w:color="auto" w:fill="auto"/>
        <w:tblLayout w:type="autofit"/>
        <w:tblCellMar>
          <w:top w:w="15" w:type="dxa"/>
          <w:left w:w="15" w:type="dxa"/>
          <w:bottom w:w="15" w:type="dxa"/>
          <w:right w:w="15" w:type="dxa"/>
        </w:tblCellMar>
      </w:tblPr>
      <w:tblGrid>
        <w:gridCol w:w="769"/>
        <w:gridCol w:w="943"/>
        <w:gridCol w:w="3220"/>
        <w:gridCol w:w="688"/>
        <w:gridCol w:w="688"/>
        <w:gridCol w:w="688"/>
        <w:gridCol w:w="688"/>
        <w:gridCol w:w="688"/>
        <w:gridCol w:w="688"/>
        <w:gridCol w:w="688"/>
        <w:gridCol w:w="45"/>
      </w:tblGrid>
      <w:tr>
        <w:tblPrEx>
          <w:shd w:val="clear" w:color="auto" w:fill="auto"/>
          <w:tblCellMar>
            <w:top w:w="15" w:type="dxa"/>
            <w:left w:w="15" w:type="dxa"/>
            <w:bottom w:w="15" w:type="dxa"/>
            <w:right w:w="15" w:type="dxa"/>
          </w:tblCellMar>
        </w:tblPrEx>
        <w:trPr>
          <w:gridAfter w:val="1"/>
          <w:wAfter w:w="45" w:type="dxa"/>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gridAfter w:val="1"/>
          <w:wAfter w:w="45" w:type="dxa"/>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gridAfter w:val="1"/>
          <w:wAfter w:w="45" w:type="dxa"/>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73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4932"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769"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Calibri" w:hAnsi="Calibri" w:eastAsia="宋体" w:cs="Calibri"/>
                <w:color w:val="000000"/>
                <w:kern w:val="0"/>
                <w:sz w:val="20"/>
                <w:szCs w:val="20"/>
              </w:rPr>
            </w:pPr>
          </w:p>
          <w:p>
            <w:pPr>
              <w:keepNext w:val="0"/>
              <w:keepLines w:val="0"/>
              <w:pageBreakBefore w:val="0"/>
              <w:widowControl/>
              <w:kinsoku/>
              <w:overflowPunct/>
              <w:autoSpaceDE/>
              <w:autoSpaceDN/>
              <w:bidi w:val="0"/>
              <w:adjustRightInd/>
              <w:snapToGrid/>
              <w:spacing w:line="600" w:lineRule="exact"/>
              <w:jc w:val="center"/>
              <w:textAlignment w:val="auto"/>
              <w:rPr>
                <w:rFonts w:ascii="Calibri" w:hAnsi="Calibri" w:eastAsia="宋体" w:cs="Calibri"/>
                <w:color w:val="000000"/>
                <w:kern w:val="0"/>
                <w:sz w:val="20"/>
                <w:szCs w:val="20"/>
              </w:rPr>
            </w:pPr>
            <w:r>
              <w:rPr>
                <w:rFonts w:hint="eastAsia" w:ascii="Calibri" w:hAnsi="Calibri" w:eastAsia="宋体" w:cs="Calibri"/>
                <w:color w:val="000000"/>
                <w:kern w:val="0"/>
                <w:sz w:val="20"/>
                <w:szCs w:val="20"/>
              </w:rPr>
              <w:t>0</w:t>
            </w:r>
          </w:p>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tabs>
                <w:tab w:val="left" w:pos="225"/>
                <w:tab w:val="center" w:pos="287"/>
              </w:tabs>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trHeight w:val="779" w:hRule="atLeast"/>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gridAfter w:val="1"/>
          <w:wAfter w:w="45" w:type="dxa"/>
          <w:jc w:val="center"/>
        </w:trPr>
        <w:tc>
          <w:tcPr>
            <w:tcW w:w="4932"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四、政府信息公开行政复议、行政诉讼情况</w:t>
      </w:r>
    </w:p>
    <w:tbl>
      <w:tblPr>
        <w:tblStyle w:val="10"/>
        <w:tblW w:w="9748" w:type="dxa"/>
        <w:jc w:val="center"/>
        <w:shd w:val="clear" w:color="auto" w:fill="auto"/>
        <w:tblLayout w:type="autofit"/>
        <w:tblCellMar>
          <w:top w:w="15" w:type="dxa"/>
          <w:left w:w="15" w:type="dxa"/>
          <w:bottom w:w="15" w:type="dxa"/>
          <w:right w:w="15" w:type="dxa"/>
        </w:tblCellMar>
      </w:tblPr>
      <w:tblGrid>
        <w:gridCol w:w="516"/>
        <w:gridCol w:w="816"/>
        <w:gridCol w:w="816"/>
        <w:gridCol w:w="816"/>
        <w:gridCol w:w="516"/>
        <w:gridCol w:w="816"/>
        <w:gridCol w:w="816"/>
        <w:gridCol w:w="816"/>
        <w:gridCol w:w="816"/>
        <w:gridCol w:w="516"/>
        <w:gridCol w:w="816"/>
        <w:gridCol w:w="816"/>
        <w:gridCol w:w="816"/>
        <w:gridCol w:w="816"/>
        <w:gridCol w:w="416"/>
      </w:tblGrid>
      <w:tr>
        <w:tblPrEx>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 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 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 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 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 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autoSpaceDE/>
              <w:autoSpaceDN/>
              <w:bidi w:val="0"/>
              <w:adjustRightInd/>
              <w:snapToGrid/>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五、存在的主要问题及改进情况</w:t>
      </w:r>
    </w:p>
    <w:p>
      <w:pPr>
        <w:pStyle w:val="8"/>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eastAsia="仿宋_GB2312" w:cstheme="minorBidi"/>
          <w:color w:val="000000"/>
          <w:spacing w:val="4"/>
          <w:kern w:val="2"/>
          <w:sz w:val="32"/>
          <w:szCs w:val="32"/>
          <w:lang w:val="en-US" w:eastAsia="zh-CN" w:bidi="ar-SA"/>
        </w:rPr>
        <w:t>国家税务总局</w:t>
      </w:r>
      <w:r>
        <w:rPr>
          <w:rFonts w:hint="eastAsia" w:ascii="仿宋_GB2312" w:hAnsi="仿宋_GB2312" w:eastAsia="仿宋_GB2312" w:cs="仿宋_GB2312"/>
          <w:sz w:val="32"/>
          <w:szCs w:val="32"/>
          <w:lang w:eastAsia="zh-CN"/>
        </w:rPr>
        <w:t>平塘县税务局</w:t>
      </w:r>
      <w:r>
        <w:rPr>
          <w:rFonts w:hint="eastAsia" w:ascii="仿宋_GB2312" w:hAnsi="仿宋_GB2312" w:eastAsia="仿宋_GB2312" w:cs="仿宋_GB2312"/>
          <w:sz w:val="32"/>
          <w:szCs w:val="32"/>
        </w:rPr>
        <w:t>政府信息公开工作虽然取得了一定成绩，但还存在一定的问题：一是</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及时性</w:t>
      </w:r>
      <w:r>
        <w:rPr>
          <w:rFonts w:hint="eastAsia" w:ascii="仿宋_GB2312" w:hAnsi="仿宋_GB2312" w:eastAsia="仿宋_GB2312" w:cs="仿宋_GB2312"/>
          <w:sz w:val="32"/>
          <w:szCs w:val="32"/>
        </w:rPr>
        <w:t>有待提高；二是</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公开宣传力度</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需加大。</w:t>
      </w:r>
    </w:p>
    <w:p>
      <w:pPr>
        <w:pStyle w:val="8"/>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上述问题，将从以下两点进行改进：一是加强对信息公开工作的培训和教育，提高工作人员的信息公开意识和业务水平。同时，采取定期检查、社会监督等方式加强对信息公开工作的监督，确保信息公开工作得到有效执行；二是充分利用电视、广播、报纸等传统媒体和微博、微信、抖音等社交媒体，发布政府信息公开的相关信息，提高公众的知晓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2023年未收取信息处理费。</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国家税务总局平塘县税务局</w:t>
      </w: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 xml:space="preserve">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5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0BDC7F-78AA-4DA0-B537-D97AB262BD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D20FD3C-85ED-435B-9FEE-BFADA776650E}"/>
  </w:font>
  <w:font w:name="方正小标宋简体">
    <w:panose1 w:val="02000000000000000000"/>
    <w:charset w:val="86"/>
    <w:family w:val="auto"/>
    <w:pitch w:val="default"/>
    <w:sig w:usb0="00000001" w:usb1="080E0000" w:usb2="00000000" w:usb3="00000000" w:csb0="00040000" w:csb1="00000000"/>
    <w:embedRegular r:id="rId3" w:fontKey="{D4A2F1F3-6CAB-469E-8C02-A253DAC06F7C}"/>
  </w:font>
  <w:font w:name="仿宋_GB2312">
    <w:panose1 w:val="02010609030101010101"/>
    <w:charset w:val="86"/>
    <w:family w:val="modern"/>
    <w:pitch w:val="default"/>
    <w:sig w:usb0="00000001" w:usb1="080E0000" w:usb2="00000000" w:usb3="00000000" w:csb0="00040000" w:csb1="00000000"/>
    <w:embedRegular r:id="rId4" w:fontKey="{B8EDF1FA-214F-4EB5-97E1-CAEA84CBB725}"/>
  </w:font>
  <w:font w:name="楷体_GB2312">
    <w:panose1 w:val="02010609030101010101"/>
    <w:charset w:val="86"/>
    <w:family w:val="modern"/>
    <w:pitch w:val="default"/>
    <w:sig w:usb0="00000001" w:usb1="080E0000" w:usb2="00000000" w:usb3="00000000" w:csb0="00040000" w:csb1="00000000"/>
    <w:embedRegular r:id="rId5" w:fontKey="{E533E70E-E96D-4C9B-9AAD-42CE3326012C}"/>
  </w:font>
  <w:font w:name="仿宋">
    <w:panose1 w:val="02010609060101010101"/>
    <w:charset w:val="86"/>
    <w:family w:val="modern"/>
    <w:pitch w:val="default"/>
    <w:sig w:usb0="800002BF" w:usb1="38CF7CFA" w:usb2="00000016" w:usb3="00000000" w:csb0="00040001" w:csb1="00000000"/>
    <w:embedRegular r:id="rId6" w:fontKey="{4C143965-2B18-4546-A748-BE9BEBA3AA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g0NGYxNGEyNTE1Y2NhZjc4ZjNiYWYyM2NiOTIifQ=="/>
    <w:docVar w:name="KSO_WPS_MARK_KEY" w:val="18cadac4-65c7-4adb-a1ba-0f3d068c1d2d"/>
  </w:docVars>
  <w:rsids>
    <w:rsidRoot w:val="00172A27"/>
    <w:rsid w:val="000373B8"/>
    <w:rsid w:val="000432C5"/>
    <w:rsid w:val="000942B7"/>
    <w:rsid w:val="000C358C"/>
    <w:rsid w:val="002A4746"/>
    <w:rsid w:val="002C06BD"/>
    <w:rsid w:val="00345FFA"/>
    <w:rsid w:val="0035047F"/>
    <w:rsid w:val="00355962"/>
    <w:rsid w:val="00372D26"/>
    <w:rsid w:val="003A12E9"/>
    <w:rsid w:val="00400E33"/>
    <w:rsid w:val="00425A1B"/>
    <w:rsid w:val="00436EB2"/>
    <w:rsid w:val="004A5726"/>
    <w:rsid w:val="005F4546"/>
    <w:rsid w:val="00604C39"/>
    <w:rsid w:val="00626A5C"/>
    <w:rsid w:val="00671F6B"/>
    <w:rsid w:val="00673FC8"/>
    <w:rsid w:val="006C07F8"/>
    <w:rsid w:val="00735E3E"/>
    <w:rsid w:val="007657B2"/>
    <w:rsid w:val="007D581E"/>
    <w:rsid w:val="00847DE1"/>
    <w:rsid w:val="008A5CCE"/>
    <w:rsid w:val="009634F8"/>
    <w:rsid w:val="009641F0"/>
    <w:rsid w:val="00965F2B"/>
    <w:rsid w:val="00984C4D"/>
    <w:rsid w:val="00A41B0B"/>
    <w:rsid w:val="00A84B3C"/>
    <w:rsid w:val="00AC22F6"/>
    <w:rsid w:val="00B54341"/>
    <w:rsid w:val="00B6334F"/>
    <w:rsid w:val="00B640D2"/>
    <w:rsid w:val="00B92002"/>
    <w:rsid w:val="00B9580C"/>
    <w:rsid w:val="00B962B5"/>
    <w:rsid w:val="00BA02B3"/>
    <w:rsid w:val="00BE7ECF"/>
    <w:rsid w:val="00C37697"/>
    <w:rsid w:val="00C92597"/>
    <w:rsid w:val="00CA374D"/>
    <w:rsid w:val="00CE6CE0"/>
    <w:rsid w:val="00D40068"/>
    <w:rsid w:val="00D435B8"/>
    <w:rsid w:val="00DB24A4"/>
    <w:rsid w:val="00E11AA8"/>
    <w:rsid w:val="00E15F61"/>
    <w:rsid w:val="00E33EE7"/>
    <w:rsid w:val="00F8625C"/>
    <w:rsid w:val="00F970A5"/>
    <w:rsid w:val="00FA409C"/>
    <w:rsid w:val="00FE4037"/>
    <w:rsid w:val="01267257"/>
    <w:rsid w:val="019D73AC"/>
    <w:rsid w:val="065A3ABE"/>
    <w:rsid w:val="06A21828"/>
    <w:rsid w:val="06D3561E"/>
    <w:rsid w:val="06D652C9"/>
    <w:rsid w:val="06F23CF7"/>
    <w:rsid w:val="07235BE6"/>
    <w:rsid w:val="07351E35"/>
    <w:rsid w:val="07E51BEA"/>
    <w:rsid w:val="09067F2D"/>
    <w:rsid w:val="091C32AD"/>
    <w:rsid w:val="0978425B"/>
    <w:rsid w:val="097C60B7"/>
    <w:rsid w:val="098F1CD1"/>
    <w:rsid w:val="09A908B8"/>
    <w:rsid w:val="0ABC21F0"/>
    <w:rsid w:val="0B9C6A36"/>
    <w:rsid w:val="0B9C71FC"/>
    <w:rsid w:val="0BC322E7"/>
    <w:rsid w:val="0BED2CDE"/>
    <w:rsid w:val="0C871385"/>
    <w:rsid w:val="0D5F19BA"/>
    <w:rsid w:val="0DF540CC"/>
    <w:rsid w:val="0F0E7B3C"/>
    <w:rsid w:val="104D4694"/>
    <w:rsid w:val="120B3C17"/>
    <w:rsid w:val="12A92585"/>
    <w:rsid w:val="12BF2650"/>
    <w:rsid w:val="134A310C"/>
    <w:rsid w:val="14294AD0"/>
    <w:rsid w:val="142E658A"/>
    <w:rsid w:val="14663CC9"/>
    <w:rsid w:val="1485043C"/>
    <w:rsid w:val="14CF1B1B"/>
    <w:rsid w:val="14EB7FD7"/>
    <w:rsid w:val="1514752E"/>
    <w:rsid w:val="15437E13"/>
    <w:rsid w:val="161539CC"/>
    <w:rsid w:val="163F4A7E"/>
    <w:rsid w:val="17966920"/>
    <w:rsid w:val="17AF353E"/>
    <w:rsid w:val="19271A3F"/>
    <w:rsid w:val="19C808E7"/>
    <w:rsid w:val="1B5A7C65"/>
    <w:rsid w:val="1B9C202B"/>
    <w:rsid w:val="1BC51FCB"/>
    <w:rsid w:val="1C427076"/>
    <w:rsid w:val="1D66260F"/>
    <w:rsid w:val="1E296A58"/>
    <w:rsid w:val="1F90634B"/>
    <w:rsid w:val="20B120D5"/>
    <w:rsid w:val="22123047"/>
    <w:rsid w:val="221A3BA2"/>
    <w:rsid w:val="23040BE2"/>
    <w:rsid w:val="24AF7273"/>
    <w:rsid w:val="24ED38F7"/>
    <w:rsid w:val="24F37565"/>
    <w:rsid w:val="250017D3"/>
    <w:rsid w:val="25697422"/>
    <w:rsid w:val="258E6E89"/>
    <w:rsid w:val="264D464E"/>
    <w:rsid w:val="26AD1590"/>
    <w:rsid w:val="270D0281"/>
    <w:rsid w:val="278C389C"/>
    <w:rsid w:val="279A1B15"/>
    <w:rsid w:val="279B7BF5"/>
    <w:rsid w:val="27BF3329"/>
    <w:rsid w:val="27F4193C"/>
    <w:rsid w:val="28017DE6"/>
    <w:rsid w:val="28125B4F"/>
    <w:rsid w:val="288F6696"/>
    <w:rsid w:val="28926C90"/>
    <w:rsid w:val="28EA087A"/>
    <w:rsid w:val="2A216098"/>
    <w:rsid w:val="2A6E1037"/>
    <w:rsid w:val="2A9000E3"/>
    <w:rsid w:val="2A97058D"/>
    <w:rsid w:val="2B0657BE"/>
    <w:rsid w:val="2B0F45C8"/>
    <w:rsid w:val="2BF67536"/>
    <w:rsid w:val="2C6E3134"/>
    <w:rsid w:val="2CA61E1C"/>
    <w:rsid w:val="2D9D410D"/>
    <w:rsid w:val="2DC02223"/>
    <w:rsid w:val="2DE73B54"/>
    <w:rsid w:val="2DF9330D"/>
    <w:rsid w:val="2EB45BB2"/>
    <w:rsid w:val="2F880DEC"/>
    <w:rsid w:val="2FA31F25"/>
    <w:rsid w:val="30767D4F"/>
    <w:rsid w:val="311741D6"/>
    <w:rsid w:val="31DE4CF4"/>
    <w:rsid w:val="33064502"/>
    <w:rsid w:val="343B743F"/>
    <w:rsid w:val="346A0AC1"/>
    <w:rsid w:val="34A71D15"/>
    <w:rsid w:val="358B5193"/>
    <w:rsid w:val="35FA5E74"/>
    <w:rsid w:val="36830BCA"/>
    <w:rsid w:val="36A71B58"/>
    <w:rsid w:val="36B6732D"/>
    <w:rsid w:val="36CA5847"/>
    <w:rsid w:val="370E04AD"/>
    <w:rsid w:val="37F85D43"/>
    <w:rsid w:val="38190834"/>
    <w:rsid w:val="38B67CF6"/>
    <w:rsid w:val="38FA0A0E"/>
    <w:rsid w:val="398443D3"/>
    <w:rsid w:val="39FC21BB"/>
    <w:rsid w:val="3ADB6274"/>
    <w:rsid w:val="3ADC3D9A"/>
    <w:rsid w:val="3AE570F3"/>
    <w:rsid w:val="3BA50630"/>
    <w:rsid w:val="3D815D7B"/>
    <w:rsid w:val="3D864BBD"/>
    <w:rsid w:val="3E1F291C"/>
    <w:rsid w:val="3E4C733C"/>
    <w:rsid w:val="3F3A09F5"/>
    <w:rsid w:val="3F690439"/>
    <w:rsid w:val="3F8A0269"/>
    <w:rsid w:val="3F9703A6"/>
    <w:rsid w:val="408829FA"/>
    <w:rsid w:val="409A1BA4"/>
    <w:rsid w:val="41B82E6B"/>
    <w:rsid w:val="4226071D"/>
    <w:rsid w:val="448F16BC"/>
    <w:rsid w:val="44F62EAF"/>
    <w:rsid w:val="45327E35"/>
    <w:rsid w:val="45401AF6"/>
    <w:rsid w:val="4587353B"/>
    <w:rsid w:val="459E681C"/>
    <w:rsid w:val="464B2831"/>
    <w:rsid w:val="467F664E"/>
    <w:rsid w:val="4684080C"/>
    <w:rsid w:val="469D2F78"/>
    <w:rsid w:val="47016611"/>
    <w:rsid w:val="47723ABC"/>
    <w:rsid w:val="47743CD8"/>
    <w:rsid w:val="47C14A44"/>
    <w:rsid w:val="47C737CE"/>
    <w:rsid w:val="484F02A2"/>
    <w:rsid w:val="48AA360B"/>
    <w:rsid w:val="49407C25"/>
    <w:rsid w:val="49B06B1E"/>
    <w:rsid w:val="4B2270A9"/>
    <w:rsid w:val="4C312198"/>
    <w:rsid w:val="4D447DD6"/>
    <w:rsid w:val="4D8608E4"/>
    <w:rsid w:val="4F9547EC"/>
    <w:rsid w:val="4FEE214E"/>
    <w:rsid w:val="50A218B6"/>
    <w:rsid w:val="50F9524E"/>
    <w:rsid w:val="51024103"/>
    <w:rsid w:val="516E1798"/>
    <w:rsid w:val="51C05221"/>
    <w:rsid w:val="5280535D"/>
    <w:rsid w:val="53811428"/>
    <w:rsid w:val="53AD1442"/>
    <w:rsid w:val="53C953AC"/>
    <w:rsid w:val="541A1045"/>
    <w:rsid w:val="54436F0C"/>
    <w:rsid w:val="54613836"/>
    <w:rsid w:val="54745318"/>
    <w:rsid w:val="54A24918"/>
    <w:rsid w:val="55006CD4"/>
    <w:rsid w:val="559D43FA"/>
    <w:rsid w:val="569752EE"/>
    <w:rsid w:val="57387E14"/>
    <w:rsid w:val="576D42A0"/>
    <w:rsid w:val="58BE3005"/>
    <w:rsid w:val="58F06F37"/>
    <w:rsid w:val="58FE1654"/>
    <w:rsid w:val="59154BEF"/>
    <w:rsid w:val="595C6FC4"/>
    <w:rsid w:val="59A214D7"/>
    <w:rsid w:val="5A1153B7"/>
    <w:rsid w:val="5AE91E90"/>
    <w:rsid w:val="5B2116D9"/>
    <w:rsid w:val="5B8D4F11"/>
    <w:rsid w:val="5BEF4AB3"/>
    <w:rsid w:val="5C3D06E5"/>
    <w:rsid w:val="5C3E7FB9"/>
    <w:rsid w:val="5C7D4F86"/>
    <w:rsid w:val="5CAD58A7"/>
    <w:rsid w:val="5E193C59"/>
    <w:rsid w:val="5E2F0501"/>
    <w:rsid w:val="5F9C3975"/>
    <w:rsid w:val="613C540F"/>
    <w:rsid w:val="618B1EF3"/>
    <w:rsid w:val="61954B1F"/>
    <w:rsid w:val="62F51D1A"/>
    <w:rsid w:val="638253BE"/>
    <w:rsid w:val="63B53C80"/>
    <w:rsid w:val="64550596"/>
    <w:rsid w:val="66707909"/>
    <w:rsid w:val="675114E9"/>
    <w:rsid w:val="67F73E3E"/>
    <w:rsid w:val="68196C03"/>
    <w:rsid w:val="681F3F15"/>
    <w:rsid w:val="68210EBB"/>
    <w:rsid w:val="687076E0"/>
    <w:rsid w:val="68AD0CCF"/>
    <w:rsid w:val="68E24AEE"/>
    <w:rsid w:val="691E7911"/>
    <w:rsid w:val="6A4315BC"/>
    <w:rsid w:val="6AEF52A0"/>
    <w:rsid w:val="6B1116BB"/>
    <w:rsid w:val="6B4A0729"/>
    <w:rsid w:val="6B4E5D0E"/>
    <w:rsid w:val="6B607F4C"/>
    <w:rsid w:val="6B9B71D6"/>
    <w:rsid w:val="6D3E42BD"/>
    <w:rsid w:val="6E1B24C8"/>
    <w:rsid w:val="6E3D4575"/>
    <w:rsid w:val="6F7130F4"/>
    <w:rsid w:val="70FC4273"/>
    <w:rsid w:val="71A072F4"/>
    <w:rsid w:val="71C30E32"/>
    <w:rsid w:val="720A0C12"/>
    <w:rsid w:val="72162E3A"/>
    <w:rsid w:val="723839D1"/>
    <w:rsid w:val="744F6DB0"/>
    <w:rsid w:val="748928BF"/>
    <w:rsid w:val="75075107"/>
    <w:rsid w:val="76465F91"/>
    <w:rsid w:val="76646C6B"/>
    <w:rsid w:val="766B4EA9"/>
    <w:rsid w:val="766E5C13"/>
    <w:rsid w:val="76724FD8"/>
    <w:rsid w:val="76E557A9"/>
    <w:rsid w:val="76F65C09"/>
    <w:rsid w:val="775841CD"/>
    <w:rsid w:val="77B57F37"/>
    <w:rsid w:val="79301F56"/>
    <w:rsid w:val="79C93160"/>
    <w:rsid w:val="79FC52E4"/>
    <w:rsid w:val="7A8A28F0"/>
    <w:rsid w:val="7A94551C"/>
    <w:rsid w:val="7C5E2286"/>
    <w:rsid w:val="7C6D24C9"/>
    <w:rsid w:val="7D6C2781"/>
    <w:rsid w:val="7D807FDA"/>
    <w:rsid w:val="7DA30BDD"/>
    <w:rsid w:val="7EB363C0"/>
    <w:rsid w:val="7ECD724F"/>
    <w:rsid w:val="7F364DF4"/>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1"/>
    <w:next w:val="2"/>
    <w:autoRedefine/>
    <w:qFormat/>
    <w:uiPriority w:val="0"/>
    <w:pPr>
      <w:jc w:val="both"/>
    </w:pPr>
    <w:rPr>
      <w:rFonts w:ascii="Calibri" w:hAnsi="Calibri" w:eastAsia="宋体" w:cs="黑体"/>
      <w:sz w:val="21"/>
      <w:szCs w:val="22"/>
      <w:lang w:val="en-US" w:eastAsia="zh-CN" w:bidi="ar-SA"/>
    </w:rPr>
  </w:style>
  <w:style w:type="paragraph" w:styleId="4">
    <w:name w:val="header"/>
    <w:basedOn w:val="1"/>
    <w:next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w:basedOn w:val="1"/>
    <w:autoRedefine/>
    <w:semiHidden/>
    <w:unhideWhenUsed/>
    <w:qFormat/>
    <w:uiPriority w:val="99"/>
    <w:pPr>
      <w:spacing w:after="120" w:afterLines="0" w:afterAutospacing="0"/>
    </w:pPr>
  </w:style>
  <w:style w:type="paragraph" w:styleId="6">
    <w:name w:val="Balloon Text"/>
    <w:basedOn w:val="1"/>
    <w:autoRedefine/>
    <w:semiHidden/>
    <w:unhideWhenUsed/>
    <w:qFormat/>
    <w:uiPriority w:val="99"/>
    <w:rPr>
      <w:sz w:val="18"/>
    </w:rPr>
  </w:style>
  <w:style w:type="paragraph" w:styleId="7">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8">
    <w:name w:val="Normal (Web)"/>
    <w:basedOn w:val="1"/>
    <w:next w:val="6"/>
    <w:autoRedefine/>
    <w:unhideWhenUsed/>
    <w:qFormat/>
    <w:uiPriority w:val="99"/>
    <w:pPr>
      <w:jc w:val="left"/>
    </w:pPr>
    <w:rPr>
      <w:rFonts w:cs="Times New Roman"/>
      <w:kern w:val="0"/>
      <w:sz w:val="24"/>
    </w:rPr>
  </w:style>
  <w:style w:type="paragraph" w:styleId="9">
    <w:name w:val="Body Text First Indent"/>
    <w:basedOn w:val="5"/>
    <w:autoRedefine/>
    <w:semiHidden/>
    <w:unhideWhenUsed/>
    <w:qFormat/>
    <w:uiPriority w:val="99"/>
    <w:pPr>
      <w:ind w:firstLine="420" w:firstLineChars="100"/>
    </w:pPr>
  </w:style>
  <w:style w:type="character" w:customStyle="1" w:styleId="12">
    <w:name w:val="页眉 Char"/>
    <w:basedOn w:val="11"/>
    <w:link w:val="4"/>
    <w:autoRedefine/>
    <w:semiHidden/>
    <w:qFormat/>
    <w:uiPriority w:val="99"/>
    <w:rPr>
      <w:sz w:val="18"/>
      <w:szCs w:val="18"/>
    </w:rPr>
  </w:style>
  <w:style w:type="character" w:customStyle="1" w:styleId="13">
    <w:name w:val="页脚 Char"/>
    <w:basedOn w:val="11"/>
    <w:link w:val="7"/>
    <w:autoRedefine/>
    <w:semiHidden/>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2834</Words>
  <Characters>2970</Characters>
  <Lines>19</Lines>
  <Paragraphs>5</Paragraphs>
  <TotalTime>130</TotalTime>
  <ScaleCrop>false</ScaleCrop>
  <LinksUpToDate>false</LinksUpToDate>
  <CharactersWithSpaces>3004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2021-01-11T02:44:00Z</dcterms:created>
  <dc:creator>李立</dc:creator>
  <cp:lastModifiedBy>轻寒QH</cp:lastModifiedBy>
  <dcterms:modified xsi:type="dcterms:W3CDTF">2024-01-30T09:44:16Z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19370960E1B8412386D89E13BFE58096_13</vt:lpwstr>
  </property>
</Properties>
</file>