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spacing w:line="600" w:lineRule="exact"/>
        <w:jc w:val="center"/>
        <w:textAlignment w:val="baseline"/>
        <w:rPr>
          <w:rFonts w:hint="eastAsia" w:ascii="方正小标宋简体" w:hAnsi="黑体" w:eastAsia="方正小标宋简体" w:cs="Times New Roman"/>
          <w:kern w:val="0"/>
          <w:sz w:val="44"/>
          <w:szCs w:val="44"/>
        </w:rPr>
      </w:pPr>
      <w:r>
        <w:rPr>
          <w:rFonts w:hint="eastAsia" w:ascii="方正小标宋简体" w:hAnsi="黑体" w:eastAsia="方正小标宋简体" w:cs="Times New Roman"/>
          <w:kern w:val="0"/>
          <w:sz w:val="44"/>
          <w:szCs w:val="44"/>
        </w:rPr>
        <w:t>国家税务总局福泉市税务局</w:t>
      </w:r>
    </w:p>
    <w:p>
      <w:pPr>
        <w:keepNext w:val="0"/>
        <w:keepLines w:val="0"/>
        <w:pageBreakBefore w:val="0"/>
        <w:widowControl/>
        <w:kinsoku/>
        <w:wordWrap/>
        <w:overflowPunct w:val="0"/>
        <w:topLinePunct w:val="0"/>
        <w:autoSpaceDE w:val="0"/>
        <w:autoSpaceDN w:val="0"/>
        <w:bidi w:val="0"/>
        <w:adjustRightInd w:val="0"/>
        <w:snapToGrid/>
        <w:spacing w:line="600" w:lineRule="exact"/>
        <w:jc w:val="center"/>
        <w:textAlignment w:val="baseline"/>
        <w:rPr>
          <w:rFonts w:hint="eastAsia" w:ascii="方正小标宋简体" w:hAnsi="黑体" w:eastAsia="方正小标宋简体" w:cs="Times New Roman"/>
          <w:kern w:val="0"/>
          <w:sz w:val="44"/>
          <w:szCs w:val="44"/>
        </w:rPr>
      </w:pPr>
      <w:r>
        <w:rPr>
          <w:rFonts w:hint="eastAsia" w:ascii="方正小标宋简体" w:hAnsi="黑体" w:eastAsia="方正小标宋简体" w:cs="Times New Roman"/>
          <w:kern w:val="0"/>
          <w:sz w:val="44"/>
          <w:szCs w:val="44"/>
        </w:rPr>
        <w:t>202</w:t>
      </w:r>
      <w:r>
        <w:rPr>
          <w:rFonts w:hint="eastAsia" w:ascii="方正小标宋简体" w:hAnsi="黑体" w:eastAsia="方正小标宋简体" w:cs="Times New Roman"/>
          <w:kern w:val="0"/>
          <w:sz w:val="44"/>
          <w:szCs w:val="44"/>
          <w:lang w:val="en-US" w:eastAsia="zh-CN"/>
        </w:rPr>
        <w:t>3</w:t>
      </w:r>
      <w:r>
        <w:rPr>
          <w:rFonts w:hint="eastAsia" w:ascii="方正小标宋简体" w:hAnsi="黑体" w:eastAsia="方正小标宋简体" w:cs="Times New Roman"/>
          <w:kern w:val="0"/>
          <w:sz w:val="44"/>
          <w:szCs w:val="44"/>
        </w:rPr>
        <w:t>年政府信息公开工作年度报告</w:t>
      </w:r>
    </w:p>
    <w:p>
      <w:pPr>
        <w:pStyle w:val="2"/>
        <w:rPr>
          <w:rFonts w:hint="eastAsia"/>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jc w:val="both"/>
        <w:textAlignment w:val="baseline"/>
        <w:rPr>
          <w:rFonts w:hint="eastAsia" w:ascii="方正小标宋简体" w:hAnsi="黑体" w:eastAsia="方正小标宋简体" w:cs="Times New Roman"/>
          <w:kern w:val="0"/>
          <w:sz w:val="44"/>
          <w:szCs w:val="44"/>
          <w:lang w:eastAsia="zh-CN"/>
        </w:rPr>
      </w:pPr>
      <w:r>
        <w:rPr>
          <w:rFonts w:hint="eastAsia" w:ascii="Times New Roman" w:hAnsi="Times New Roman" w:eastAsia="仿宋_GB2312" w:cs="Times New Roman"/>
          <w:snapToGrid/>
          <w:color w:val="auto"/>
          <w:kern w:val="0"/>
          <w:sz w:val="32"/>
          <w:szCs w:val="32"/>
          <w:lang w:val="zh-CN" w:eastAsia="zh-CN" w:bidi="ar"/>
        </w:rPr>
        <w:t>根据《中华人民共和国政府信息公开条例》第五十条的规定，及黔南州税务局相关工作要求，现将福泉市税务局2023年政府信息公开年度报告如下：</w:t>
      </w:r>
    </w:p>
    <w:p>
      <w:pPr>
        <w:keepNext w:val="0"/>
        <w:keepLines w:val="0"/>
        <w:pageBreakBefore w:val="0"/>
        <w:widowControl w:val="0"/>
        <w:kinsoku/>
        <w:wordWrap/>
        <w:overflowPunct w:val="0"/>
        <w:topLinePunct w:val="0"/>
        <w:autoSpaceDE w:val="0"/>
        <w:autoSpaceDN w:val="0"/>
        <w:bidi w:val="0"/>
        <w:adjustRightInd w:val="0"/>
        <w:snapToGrid/>
        <w:spacing w:line="600" w:lineRule="exact"/>
        <w:ind w:right="0" w:rightChars="0" w:firstLine="640" w:firstLineChars="200"/>
        <w:textAlignment w:val="baseline"/>
        <w:rPr>
          <w:rFonts w:hint="eastAsia" w:ascii="黑体" w:hAnsi="黑体" w:eastAsia="黑体" w:cs="Times New Roman"/>
          <w:kern w:val="0"/>
          <w:sz w:val="32"/>
          <w:szCs w:val="32"/>
          <w:lang w:val="zh-CN" w:eastAsia="zh-CN"/>
        </w:rPr>
      </w:pPr>
      <w:r>
        <w:rPr>
          <w:rFonts w:hint="eastAsia" w:ascii="黑体" w:hAnsi="黑体" w:eastAsia="黑体" w:cs="Times New Roman"/>
          <w:kern w:val="0"/>
          <w:sz w:val="32"/>
          <w:szCs w:val="32"/>
          <w:lang w:val="zh-CN"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napToGrid/>
          <w:color w:val="auto"/>
          <w:kern w:val="0"/>
          <w:sz w:val="32"/>
          <w:szCs w:val="32"/>
          <w:lang w:val="zh-CN" w:eastAsia="zh-CN" w:bidi="ar"/>
        </w:rPr>
      </w:pPr>
      <w:r>
        <w:rPr>
          <w:rFonts w:hint="eastAsia" w:ascii="Times New Roman" w:hAnsi="Times New Roman" w:eastAsia="仿宋_GB2312" w:cs="Times New Roman"/>
          <w:snapToGrid/>
          <w:color w:val="auto"/>
          <w:kern w:val="0"/>
          <w:sz w:val="32"/>
          <w:szCs w:val="32"/>
          <w:lang w:val="zh-CN" w:eastAsia="zh-CN" w:bidi="ar"/>
        </w:rPr>
        <w:t>202</w:t>
      </w:r>
      <w:r>
        <w:rPr>
          <w:rFonts w:hint="eastAsia" w:ascii="Times New Roman" w:hAnsi="Times New Roman" w:eastAsia="仿宋_GB2312" w:cs="Times New Roman"/>
          <w:snapToGrid/>
          <w:color w:val="auto"/>
          <w:kern w:val="0"/>
          <w:sz w:val="32"/>
          <w:szCs w:val="32"/>
          <w:lang w:val="en-US" w:eastAsia="zh-CN" w:bidi="ar"/>
        </w:rPr>
        <w:t>3</w:t>
      </w:r>
      <w:r>
        <w:rPr>
          <w:rFonts w:hint="eastAsia" w:ascii="Times New Roman" w:hAnsi="Times New Roman" w:eastAsia="仿宋_GB2312" w:cs="Times New Roman"/>
          <w:snapToGrid/>
          <w:color w:val="auto"/>
          <w:kern w:val="0"/>
          <w:sz w:val="32"/>
          <w:szCs w:val="32"/>
          <w:lang w:val="zh-CN" w:eastAsia="zh-CN" w:bidi="ar"/>
        </w:rPr>
        <w:t>年，国家税务总局福泉市税务局以习近平新时代中国特色社会主义思想为指导，坚持以公开为常态、不公开为例外，遵循公正、公平、合法、便民的原则，聚焦经济平稳健康发展和社会和谐稳定，提高政策公开质量，夯实公开工作基础，全面深化政务公开，更好发挥以公开促落实、强监管功能，以制度公开加强税收执法透明度，确保政府信息公开工作质效得到全面提升。</w:t>
      </w:r>
    </w:p>
    <w:p>
      <w:pPr>
        <w:keepNext w:val="0"/>
        <w:keepLines w:val="0"/>
        <w:pageBreakBefore w:val="0"/>
        <w:widowControl/>
        <w:kinsoku/>
        <w:wordWrap/>
        <w:overflowPunct w:val="0"/>
        <w:topLinePunct w:val="0"/>
        <w:autoSpaceDE w:val="0"/>
        <w:autoSpaceDN w:val="0"/>
        <w:bidi w:val="0"/>
        <w:adjustRightInd w:val="0"/>
        <w:snapToGrid/>
        <w:spacing w:line="600" w:lineRule="exact"/>
        <w:ind w:right="0" w:rightChars="0" w:firstLine="640" w:firstLineChars="200"/>
        <w:textAlignment w:val="baseline"/>
        <w:rPr>
          <w:rFonts w:hint="eastAsia" w:ascii="楷体_GB2312" w:hAnsi="楷体_GB2312" w:eastAsia="楷体_GB2312" w:cs="楷体_GB2312"/>
          <w:b w:val="0"/>
          <w:bCs/>
          <w:kern w:val="0"/>
          <w:sz w:val="32"/>
          <w:szCs w:val="32"/>
          <w:lang w:val="zh-CN" w:eastAsia="zh-CN"/>
        </w:rPr>
      </w:pPr>
      <w:r>
        <w:rPr>
          <w:rFonts w:hint="eastAsia" w:ascii="楷体_GB2312" w:hAnsi="楷体_GB2312" w:eastAsia="楷体_GB2312" w:cs="楷体_GB2312"/>
          <w:b w:val="0"/>
          <w:bCs/>
          <w:kern w:val="0"/>
          <w:sz w:val="32"/>
          <w:szCs w:val="32"/>
          <w:lang w:val="zh-CN" w:eastAsia="zh-CN"/>
        </w:rPr>
        <w:t>（一）严把监督审核，推进公开程序准确规范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napToGrid/>
          <w:color w:val="FF0000"/>
          <w:kern w:val="0"/>
          <w:sz w:val="32"/>
          <w:szCs w:val="32"/>
          <w:lang w:val="zh-CN" w:eastAsia="zh-CN" w:bidi="ar"/>
        </w:rPr>
      </w:pPr>
      <w:r>
        <w:rPr>
          <w:rFonts w:hint="eastAsia" w:ascii="Times New Roman" w:hAnsi="Times New Roman" w:eastAsia="仿宋_GB2312" w:cs="Times New Roman"/>
          <w:snapToGrid/>
          <w:color w:val="auto"/>
          <w:kern w:val="0"/>
          <w:sz w:val="32"/>
          <w:szCs w:val="32"/>
          <w:lang w:val="zh-CN" w:eastAsia="zh-CN" w:bidi="ar"/>
        </w:rPr>
        <w:t>将政务公开作为重要考核内容纳入2023年福泉市税务局共性绩效指标管理，分值权重12%，明确政务公开的内容、时限、正面清单、负面事项、考核标准等内容。同时指派专人负责政务公开工作重点任务台账，加强对各分局、各部门政务公开工作考核督促。持续落实办公室审核文字把关题材、业务部门审核内容把关政策、发布部门审核格式把关舆情的“三审核三把关”税收政务信息发布机制，最后报州局审核同意后刊发，形成“一级抓一级，层层抓落实”的工作格局，确保税收政务信息公开准确规范。</w:t>
      </w:r>
    </w:p>
    <w:p>
      <w:pPr>
        <w:keepNext w:val="0"/>
        <w:keepLines w:val="0"/>
        <w:pageBreakBefore w:val="0"/>
        <w:widowControl/>
        <w:kinsoku/>
        <w:wordWrap/>
        <w:overflowPunct w:val="0"/>
        <w:topLinePunct w:val="0"/>
        <w:autoSpaceDE w:val="0"/>
        <w:autoSpaceDN w:val="0"/>
        <w:bidi w:val="0"/>
        <w:adjustRightInd w:val="0"/>
        <w:snapToGrid/>
        <w:spacing w:line="600" w:lineRule="exact"/>
        <w:ind w:right="0" w:rightChars="0" w:firstLine="640" w:firstLineChars="200"/>
        <w:textAlignment w:val="baseline"/>
        <w:rPr>
          <w:rFonts w:hint="eastAsia" w:ascii="楷体_GB2312" w:hAnsi="楷体_GB2312" w:eastAsia="楷体_GB2312" w:cs="楷体_GB2312"/>
          <w:b w:val="0"/>
          <w:bCs/>
          <w:color w:val="FF0000"/>
          <w:kern w:val="0"/>
          <w:sz w:val="32"/>
          <w:szCs w:val="32"/>
          <w:lang w:val="zh-CN" w:eastAsia="zh-CN"/>
        </w:rPr>
      </w:pPr>
      <w:r>
        <w:rPr>
          <w:rFonts w:hint="eastAsia" w:ascii="楷体_GB2312" w:hAnsi="楷体_GB2312" w:eastAsia="楷体_GB2312" w:cs="楷体_GB2312"/>
          <w:b w:val="0"/>
          <w:bCs/>
          <w:kern w:val="0"/>
          <w:sz w:val="32"/>
          <w:szCs w:val="32"/>
          <w:lang w:val="zh-CN" w:eastAsia="zh-CN"/>
        </w:rPr>
        <w:t>（二）主动</w:t>
      </w:r>
      <w:r>
        <w:rPr>
          <w:rFonts w:hint="eastAsia" w:ascii="楷体_GB2312" w:hAnsi="楷体_GB2312" w:eastAsia="楷体_GB2312" w:cs="楷体_GB2312"/>
          <w:b w:val="0"/>
          <w:bCs/>
          <w:color w:val="auto"/>
          <w:kern w:val="0"/>
          <w:sz w:val="32"/>
          <w:szCs w:val="32"/>
          <w:lang w:val="zh-CN" w:eastAsia="zh-CN"/>
        </w:rPr>
        <w:t>回应解读，推动政策解答提质增效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napToGrid/>
          <w:color w:val="auto"/>
          <w:kern w:val="0"/>
          <w:sz w:val="32"/>
          <w:szCs w:val="32"/>
          <w:lang w:val="zh-CN" w:eastAsia="zh-CN" w:bidi="ar"/>
        </w:rPr>
      </w:pPr>
      <w:r>
        <w:rPr>
          <w:rFonts w:hint="eastAsia" w:ascii="Times New Roman" w:hAnsi="Times New Roman" w:eastAsia="仿宋_GB2312" w:cs="Times New Roman"/>
          <w:snapToGrid/>
          <w:color w:val="auto"/>
          <w:kern w:val="0"/>
          <w:sz w:val="32"/>
          <w:szCs w:val="32"/>
          <w:lang w:val="zh-CN" w:eastAsia="zh-CN" w:bidi="ar"/>
        </w:rPr>
        <w:t>围绕重点中心工作做好主题策划和联动推广，做大做强正面宣传，主动配合省司法厅、省教育厅、省税务局开展“法宣润童心，税惠伴青春”青少年税收普法主题活动，获贵州省税务局新闻网站公开报道。综合运用信息发布、短视频、直播课等方式对重大政策开展深度解读，及时解答纳税人疑惑，推动税惠政策落地落实落细，</w:t>
      </w:r>
      <w:r>
        <w:rPr>
          <w:rFonts w:hint="eastAsia" w:ascii="Times New Roman" w:hAnsi="Times New Roman" w:eastAsia="仿宋_GB2312" w:cs="Times New Roman"/>
          <w:snapToGrid/>
          <w:color w:val="auto"/>
          <w:kern w:val="0"/>
          <w:sz w:val="32"/>
          <w:szCs w:val="32"/>
          <w:lang w:val="en-US" w:eastAsia="zh-CN" w:bidi="ar"/>
        </w:rPr>
        <w:t>2023年</w:t>
      </w:r>
      <w:r>
        <w:rPr>
          <w:rFonts w:hint="eastAsia" w:ascii="Times New Roman" w:hAnsi="Times New Roman" w:eastAsia="仿宋_GB2312" w:cs="Times New Roman"/>
          <w:snapToGrid/>
          <w:color w:val="auto"/>
          <w:kern w:val="0"/>
          <w:sz w:val="32"/>
          <w:szCs w:val="32"/>
          <w:lang w:val="zh-CN" w:eastAsia="zh-CN" w:bidi="ar"/>
        </w:rPr>
        <w:t>累计开展政策解答直播</w:t>
      </w:r>
      <w:r>
        <w:rPr>
          <w:rFonts w:hint="eastAsia" w:ascii="Times New Roman" w:hAnsi="Times New Roman" w:eastAsia="仿宋_GB2312" w:cs="Times New Roman"/>
          <w:snapToGrid/>
          <w:color w:val="auto"/>
          <w:kern w:val="0"/>
          <w:sz w:val="32"/>
          <w:szCs w:val="32"/>
          <w:lang w:val="en-US" w:eastAsia="zh-CN" w:bidi="ar"/>
        </w:rPr>
        <w:t>36期。</w:t>
      </w:r>
      <w:r>
        <w:rPr>
          <w:rFonts w:hint="eastAsia" w:ascii="Times New Roman" w:hAnsi="Times New Roman" w:eastAsia="仿宋_GB2312" w:cs="Times New Roman"/>
          <w:snapToGrid/>
          <w:color w:val="auto"/>
          <w:kern w:val="0"/>
          <w:sz w:val="32"/>
          <w:szCs w:val="32"/>
          <w:lang w:val="zh-CN" w:eastAsia="zh-CN" w:bidi="ar"/>
        </w:rPr>
        <w:t>充分利用福泉市人民政府信息公开网站、税企互动微信公众号、第一税务分局（办税服务大厅）及各税务分局公告栏、LED屏等平台媒介，紧扣税收政策变化及纳税人关注焦点，设置重点领域税收政策、税收政策减免等工作专栏，及时更新政务公开内容，切实做到文件公布与政策解读同步发布。</w:t>
      </w:r>
    </w:p>
    <w:p>
      <w:pPr>
        <w:keepNext w:val="0"/>
        <w:keepLines w:val="0"/>
        <w:pageBreakBefore w:val="0"/>
        <w:widowControl/>
        <w:kinsoku/>
        <w:wordWrap/>
        <w:overflowPunct w:val="0"/>
        <w:topLinePunct w:val="0"/>
        <w:autoSpaceDE w:val="0"/>
        <w:autoSpaceDN w:val="0"/>
        <w:bidi w:val="0"/>
        <w:adjustRightInd w:val="0"/>
        <w:snapToGrid/>
        <w:spacing w:line="600" w:lineRule="exact"/>
        <w:ind w:right="0" w:rightChars="0" w:firstLine="640" w:firstLineChars="200"/>
        <w:textAlignment w:val="baseline"/>
        <w:rPr>
          <w:rFonts w:hint="eastAsia" w:ascii="楷体_GB2312" w:hAnsi="楷体_GB2312" w:eastAsia="楷体_GB2312" w:cs="楷体_GB2312"/>
          <w:b w:val="0"/>
          <w:bCs/>
          <w:color w:val="FF0000"/>
          <w:kern w:val="0"/>
          <w:sz w:val="32"/>
          <w:szCs w:val="32"/>
          <w:highlight w:val="yellow"/>
          <w:lang w:val="zh-CN" w:eastAsia="zh-CN"/>
        </w:rPr>
      </w:pPr>
      <w:r>
        <w:rPr>
          <w:rFonts w:hint="eastAsia" w:ascii="楷体_GB2312" w:hAnsi="楷体_GB2312" w:eastAsia="楷体_GB2312" w:cs="楷体_GB2312"/>
          <w:b w:val="0"/>
          <w:bCs/>
          <w:color w:val="auto"/>
          <w:kern w:val="0"/>
          <w:sz w:val="32"/>
          <w:szCs w:val="32"/>
          <w:lang w:val="zh-CN" w:eastAsia="zh-CN"/>
        </w:rPr>
        <w:t>（三）管好源头公开，推行</w:t>
      </w:r>
      <w:r>
        <w:rPr>
          <w:rFonts w:hint="eastAsia" w:ascii="楷体_GB2312" w:hAnsi="楷体_GB2312" w:eastAsia="楷体_GB2312" w:cs="楷体_GB2312"/>
          <w:b w:val="0"/>
          <w:bCs/>
          <w:color w:val="auto"/>
          <w:kern w:val="0"/>
          <w:sz w:val="32"/>
          <w:szCs w:val="32"/>
          <w:highlight w:val="none"/>
          <w:lang w:val="zh-CN" w:eastAsia="zh-CN"/>
        </w:rPr>
        <w:t>信息内容立体丰富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napToGrid/>
          <w:color w:val="FF0000"/>
          <w:kern w:val="0"/>
          <w:sz w:val="32"/>
          <w:szCs w:val="32"/>
          <w:lang w:val="zh-CN" w:eastAsia="zh-CN" w:bidi="ar"/>
        </w:rPr>
      </w:pPr>
      <w:r>
        <w:rPr>
          <w:rFonts w:hint="eastAsia" w:ascii="Times New Roman" w:hAnsi="Times New Roman" w:eastAsia="仿宋_GB2312" w:cs="Times New Roman"/>
          <w:snapToGrid/>
          <w:color w:val="auto"/>
          <w:kern w:val="0"/>
          <w:sz w:val="32"/>
          <w:szCs w:val="32"/>
          <w:lang w:val="zh-CN" w:eastAsia="zh-CN" w:bidi="ar"/>
        </w:rPr>
        <w:t>按“三项制度”工作要求，公开福泉市税务局权责清单、执法事项、执法依据、执法人员等执法信息。2023年1月—12月，福泉市税务局行政执法决定案件公开数量1302件（其中简易处罚决定按三项制度相关指引要求无需公示），公开公示网站https://guizhou.chinatax.gov.cn。积极传播税收“好声音”，及时报道福泉市税务局在税收政策落实、减税降费、队伍建设的好经验好做法，增进社会各界对税收工作的了解，努力营造良好税收信息公开环境。202</w:t>
      </w:r>
      <w:r>
        <w:rPr>
          <w:rFonts w:hint="eastAsia" w:ascii="Times New Roman" w:hAnsi="Times New Roman" w:eastAsia="仿宋_GB2312" w:cs="Times New Roman"/>
          <w:snapToGrid/>
          <w:color w:val="auto"/>
          <w:kern w:val="0"/>
          <w:sz w:val="32"/>
          <w:szCs w:val="32"/>
          <w:lang w:val="en-US" w:eastAsia="zh-CN" w:bidi="ar"/>
        </w:rPr>
        <w:t>3</w:t>
      </w:r>
      <w:r>
        <w:rPr>
          <w:rFonts w:hint="eastAsia" w:ascii="Times New Roman" w:hAnsi="Times New Roman" w:eastAsia="仿宋_GB2312" w:cs="Times New Roman"/>
          <w:snapToGrid/>
          <w:color w:val="auto"/>
          <w:kern w:val="0"/>
          <w:sz w:val="32"/>
          <w:szCs w:val="32"/>
          <w:lang w:val="zh-CN" w:eastAsia="zh-CN" w:bidi="ar"/>
        </w:rPr>
        <w:t>年度按月向福泉市人民政府报送政务信息</w:t>
      </w:r>
      <w:r>
        <w:rPr>
          <w:rFonts w:hint="eastAsia" w:ascii="Times New Roman" w:hAnsi="Times New Roman" w:eastAsia="仿宋_GB2312" w:cs="Times New Roman"/>
          <w:snapToGrid/>
          <w:color w:val="auto"/>
          <w:kern w:val="0"/>
          <w:sz w:val="32"/>
          <w:szCs w:val="32"/>
          <w:lang w:val="en-US" w:eastAsia="zh-CN" w:bidi="ar"/>
        </w:rPr>
        <w:t>5</w:t>
      </w:r>
      <w:r>
        <w:rPr>
          <w:rFonts w:hint="eastAsia" w:ascii="Times New Roman" w:hAnsi="Times New Roman" w:eastAsia="仿宋_GB2312" w:cs="Times New Roman"/>
          <w:snapToGrid/>
          <w:color w:val="auto"/>
          <w:kern w:val="0"/>
          <w:sz w:val="32"/>
          <w:szCs w:val="32"/>
          <w:lang w:val="zh-CN" w:eastAsia="zh-CN" w:bidi="ar"/>
        </w:rPr>
        <w:t>篇，共计</w:t>
      </w:r>
      <w:r>
        <w:rPr>
          <w:rFonts w:hint="eastAsia" w:ascii="Times New Roman" w:hAnsi="Times New Roman" w:eastAsia="仿宋_GB2312" w:cs="Times New Roman"/>
          <w:snapToGrid/>
          <w:color w:val="auto"/>
          <w:kern w:val="0"/>
          <w:sz w:val="32"/>
          <w:szCs w:val="32"/>
          <w:lang w:val="en-US" w:eastAsia="zh-CN" w:bidi="ar"/>
        </w:rPr>
        <w:t>60</w:t>
      </w:r>
      <w:r>
        <w:rPr>
          <w:rFonts w:hint="eastAsia" w:ascii="Times New Roman" w:hAnsi="Times New Roman" w:eastAsia="仿宋_GB2312" w:cs="Times New Roman"/>
          <w:snapToGrid/>
          <w:color w:val="auto"/>
          <w:kern w:val="0"/>
          <w:sz w:val="32"/>
          <w:szCs w:val="32"/>
          <w:lang w:val="zh-CN" w:eastAsia="zh-CN" w:bidi="ar"/>
        </w:rPr>
        <w:t>篇，在《中国青年报》《法制日报》和人民网、多彩贵州等报刊网站公布信息</w:t>
      </w:r>
      <w:r>
        <w:rPr>
          <w:rFonts w:hint="eastAsia" w:ascii="Times New Roman" w:hAnsi="Times New Roman" w:eastAsia="仿宋_GB2312" w:cs="Times New Roman"/>
          <w:snapToGrid/>
          <w:color w:val="auto"/>
          <w:kern w:val="0"/>
          <w:sz w:val="32"/>
          <w:szCs w:val="32"/>
          <w:lang w:val="en-US" w:eastAsia="zh-CN" w:bidi="ar"/>
        </w:rPr>
        <w:t>113</w:t>
      </w:r>
      <w:r>
        <w:rPr>
          <w:rFonts w:hint="eastAsia" w:ascii="Times New Roman" w:hAnsi="Times New Roman" w:eastAsia="仿宋_GB2312" w:cs="Times New Roman"/>
          <w:snapToGrid/>
          <w:color w:val="auto"/>
          <w:kern w:val="0"/>
          <w:sz w:val="32"/>
          <w:szCs w:val="32"/>
          <w:lang w:val="zh-CN" w:eastAsia="zh-CN" w:bidi="ar"/>
        </w:rPr>
        <w:t>条（次），发放税收政策宣传册万余份。</w:t>
      </w:r>
    </w:p>
    <w:p>
      <w:pPr>
        <w:keepNext w:val="0"/>
        <w:keepLines w:val="0"/>
        <w:pageBreakBefore w:val="0"/>
        <w:widowControl w:val="0"/>
        <w:kinsoku/>
        <w:wordWrap/>
        <w:overflowPunct w:val="0"/>
        <w:topLinePunct w:val="0"/>
        <w:autoSpaceDE w:val="0"/>
        <w:autoSpaceDN w:val="0"/>
        <w:bidi w:val="0"/>
        <w:adjustRightInd w:val="0"/>
        <w:snapToGrid/>
        <w:spacing w:line="600" w:lineRule="exact"/>
        <w:ind w:right="0" w:rightChars="0" w:firstLine="640" w:firstLineChars="200"/>
        <w:textAlignment w:val="baseline"/>
        <w:rPr>
          <w:rFonts w:hint="eastAsia" w:ascii="黑体" w:hAnsi="黑体" w:eastAsia="黑体" w:cs="Times New Roman"/>
          <w:kern w:val="0"/>
          <w:sz w:val="32"/>
          <w:szCs w:val="32"/>
          <w:lang w:val="zh-CN" w:eastAsia="zh-CN"/>
        </w:rPr>
      </w:pPr>
      <w:r>
        <w:rPr>
          <w:rFonts w:hint="eastAsia" w:ascii="黑体" w:hAnsi="黑体" w:eastAsia="黑体" w:cs="Times New Roman"/>
          <w:kern w:val="0"/>
          <w:sz w:val="32"/>
          <w:szCs w:val="32"/>
          <w:lang w:val="zh-CN" w:eastAsia="zh-CN"/>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yellow"/>
              </w:rPr>
            </w:pPr>
            <w:r>
              <w:rPr>
                <w:rFonts w:hint="eastAsia" w:ascii="宋体" w:hAnsi="宋体" w:eastAsia="宋体" w:cs="宋体"/>
                <w:color w:val="00000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yellow"/>
                <w:lang w:val="en-US"/>
              </w:rPr>
            </w:pPr>
            <w:r>
              <w:rPr>
                <w:rFonts w:hint="eastAsia" w:ascii="Calibri" w:hAnsi="Calibri" w:cs="Calibri"/>
                <w:kern w:val="0"/>
                <w:sz w:val="21"/>
                <w:szCs w:val="21"/>
                <w:highlight w:val="none"/>
                <w:lang w:val="en-US" w:eastAsia="zh-CN" w:bidi="ar"/>
              </w:rPr>
              <w:t>1295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yellow"/>
              </w:rPr>
            </w:pPr>
            <w:r>
              <w:rPr>
                <w:rFonts w:hint="eastAsia" w:ascii="宋体" w:hAnsi="宋体" w:eastAsia="宋体" w:cs="宋体"/>
                <w:color w:val="00000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yellow"/>
                <w:lang w:val="en-US"/>
              </w:rPr>
            </w:pPr>
            <w:r>
              <w:rPr>
                <w:rFonts w:hint="eastAsia"/>
                <w:highlight w:val="none"/>
                <w:lang w:val="en-US" w:eastAsia="zh-CN"/>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val="0"/>
        <w:topLinePunct w:val="0"/>
        <w:autoSpaceDE w:val="0"/>
        <w:autoSpaceDN w:val="0"/>
        <w:bidi w:val="0"/>
        <w:adjustRightInd w:val="0"/>
        <w:snapToGrid/>
        <w:spacing w:line="600" w:lineRule="exact"/>
        <w:ind w:right="0" w:rightChars="0" w:firstLine="640" w:firstLineChars="200"/>
        <w:textAlignment w:val="baseline"/>
        <w:rPr>
          <w:rFonts w:hint="eastAsia" w:ascii="黑体" w:hAnsi="黑体" w:eastAsia="黑体" w:cs="Times New Roman"/>
          <w:kern w:val="0"/>
          <w:sz w:val="32"/>
          <w:szCs w:val="32"/>
          <w:lang w:val="zh-CN" w:eastAsia="zh-CN"/>
        </w:rPr>
      </w:pPr>
      <w:r>
        <w:rPr>
          <w:rFonts w:hint="eastAsia" w:ascii="黑体" w:hAnsi="黑体" w:eastAsia="黑体" w:cs="Times New Roman"/>
          <w:kern w:val="0"/>
          <w:sz w:val="32"/>
          <w:szCs w:val="32"/>
          <w:lang w:val="zh-CN" w:eastAsia="zh-CN"/>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 xml:space="preserve"> 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w:t>
            </w:r>
            <w:r>
              <w:rPr>
                <w:rFonts w:hint="eastAsia" w:ascii="宋体" w:hAnsi="宋体" w:eastAsia="宋体" w:cs="宋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val="0"/>
        <w:topLinePunct w:val="0"/>
        <w:autoSpaceDE w:val="0"/>
        <w:autoSpaceDN w:val="0"/>
        <w:bidi w:val="0"/>
        <w:adjustRightInd w:val="0"/>
        <w:snapToGrid/>
        <w:spacing w:line="600" w:lineRule="exact"/>
        <w:ind w:right="0" w:rightChars="0" w:firstLine="640" w:firstLineChars="200"/>
        <w:textAlignment w:val="baseline"/>
        <w:rPr>
          <w:rFonts w:hint="eastAsia" w:ascii="黑体" w:hAnsi="黑体" w:eastAsia="黑体" w:cs="Times New Roman"/>
          <w:kern w:val="0"/>
          <w:sz w:val="32"/>
          <w:szCs w:val="32"/>
          <w:lang w:val="zh-CN" w:eastAsia="zh-CN"/>
        </w:rPr>
      </w:pPr>
      <w:r>
        <w:rPr>
          <w:rFonts w:hint="eastAsia" w:ascii="黑体" w:hAnsi="黑体" w:eastAsia="黑体" w:cs="Times New Roman"/>
          <w:kern w:val="0"/>
          <w:sz w:val="32"/>
          <w:szCs w:val="32"/>
          <w:lang w:val="zh-CN" w:eastAsia="zh-CN"/>
        </w:rPr>
        <w:t>四、政府信息公开行政复议、行政诉讼情况</w:t>
      </w:r>
    </w:p>
    <w:tbl>
      <w:tblPr>
        <w:tblStyle w:val="3"/>
        <w:tblpPr w:leftFromText="180" w:rightFromText="180" w:vertAnchor="text" w:horzAnchor="page" w:tblpX="1175" w:tblpY="29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both"/>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val="0"/>
        <w:topLinePunct w:val="0"/>
        <w:autoSpaceDE w:val="0"/>
        <w:autoSpaceDN w:val="0"/>
        <w:bidi w:val="0"/>
        <w:adjustRightInd w:val="0"/>
        <w:snapToGrid/>
        <w:spacing w:line="600" w:lineRule="exact"/>
        <w:ind w:right="0" w:rightChars="0" w:firstLine="640" w:firstLineChars="200"/>
        <w:textAlignment w:val="baseline"/>
        <w:rPr>
          <w:rFonts w:hint="eastAsia" w:ascii="黑体" w:hAnsi="黑体" w:eastAsia="黑体" w:cs="Times New Roman"/>
          <w:kern w:val="0"/>
          <w:sz w:val="32"/>
          <w:szCs w:val="32"/>
          <w:lang w:val="zh-CN" w:eastAsia="zh-CN"/>
        </w:rPr>
      </w:pPr>
      <w:r>
        <w:rPr>
          <w:rFonts w:hint="eastAsia" w:ascii="黑体" w:hAnsi="黑体" w:eastAsia="黑体" w:cs="Times New Roman"/>
          <w:kern w:val="0"/>
          <w:sz w:val="32"/>
          <w:szCs w:val="32"/>
          <w:lang w:val="zh-CN"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napToGrid/>
          <w:color w:val="auto"/>
          <w:kern w:val="0"/>
          <w:sz w:val="32"/>
          <w:szCs w:val="32"/>
          <w:lang w:val="zh-CN" w:eastAsia="zh-CN" w:bidi="ar"/>
        </w:rPr>
      </w:pPr>
      <w:r>
        <w:rPr>
          <w:rFonts w:hint="eastAsia" w:ascii="Times New Roman" w:hAnsi="Times New Roman" w:eastAsia="仿宋_GB2312" w:cs="Times New Roman"/>
          <w:snapToGrid/>
          <w:color w:val="auto"/>
          <w:kern w:val="0"/>
          <w:sz w:val="32"/>
          <w:szCs w:val="32"/>
          <w:lang w:val="zh-CN" w:eastAsia="zh-CN" w:bidi="ar"/>
        </w:rPr>
        <w:t>202</w:t>
      </w:r>
      <w:r>
        <w:rPr>
          <w:rFonts w:hint="eastAsia" w:ascii="Times New Roman" w:hAnsi="Times New Roman" w:eastAsia="仿宋_GB2312" w:cs="Times New Roman"/>
          <w:snapToGrid/>
          <w:color w:val="auto"/>
          <w:kern w:val="0"/>
          <w:sz w:val="32"/>
          <w:szCs w:val="32"/>
          <w:lang w:val="en-US" w:eastAsia="zh-CN" w:bidi="ar"/>
        </w:rPr>
        <w:t>3</w:t>
      </w:r>
      <w:r>
        <w:rPr>
          <w:rFonts w:hint="eastAsia" w:ascii="Times New Roman" w:hAnsi="Times New Roman" w:eastAsia="仿宋_GB2312" w:cs="Times New Roman"/>
          <w:snapToGrid/>
          <w:color w:val="auto"/>
          <w:kern w:val="0"/>
          <w:sz w:val="32"/>
          <w:szCs w:val="32"/>
          <w:lang w:val="zh-CN" w:eastAsia="zh-CN" w:bidi="ar"/>
        </w:rPr>
        <w:t>年，我局政府信息公开工作虽然取得了一定的成效，但仍存在一些不足，主要表现在：一是政务信息公开深度有待加强；二是政府信息公开申请工作规范化水平有待进一步提高。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napToGrid/>
          <w:color w:val="auto"/>
          <w:kern w:val="0"/>
          <w:sz w:val="32"/>
          <w:szCs w:val="32"/>
          <w:lang w:val="zh-CN" w:eastAsia="zh-CN" w:bidi="ar"/>
        </w:rPr>
      </w:pPr>
      <w:r>
        <w:rPr>
          <w:rFonts w:hint="eastAsia" w:ascii="Times New Roman" w:hAnsi="Times New Roman" w:eastAsia="仿宋_GB2312" w:cs="Times New Roman"/>
          <w:snapToGrid/>
          <w:color w:val="auto"/>
          <w:kern w:val="0"/>
          <w:sz w:val="32"/>
          <w:szCs w:val="32"/>
          <w:lang w:val="zh-CN" w:eastAsia="zh-CN" w:bidi="ar"/>
        </w:rPr>
        <w:t>针对上述问题，2023年我局将会从以下几点改进措施：一是强化政府信息主动公开意识，加大重点涉税民生领域信息公开信息报送，围绕高质量发展、全面深化改革开放、减税降费政策落实、个人所得税专项附加扣除填报等方面开展信息公开和政策解答工作。二是切实提高全局政府信息公开申请工作规范化水平，进一步压实局内各部门、各分局信息公开工作主体责任，聚焦依申请公开疑难点问题，抓住关键环节，加大培训力度，强化队伍建设，全面提升履职能力。</w:t>
      </w:r>
    </w:p>
    <w:p>
      <w:pPr>
        <w:keepNext w:val="0"/>
        <w:keepLines w:val="0"/>
        <w:pageBreakBefore w:val="0"/>
        <w:widowControl w:val="0"/>
        <w:kinsoku/>
        <w:wordWrap/>
        <w:overflowPunct w:val="0"/>
        <w:topLinePunct w:val="0"/>
        <w:autoSpaceDE w:val="0"/>
        <w:autoSpaceDN w:val="0"/>
        <w:bidi w:val="0"/>
        <w:adjustRightInd w:val="0"/>
        <w:snapToGrid/>
        <w:spacing w:line="600" w:lineRule="exact"/>
        <w:ind w:right="0" w:rightChars="0" w:firstLine="640" w:firstLineChars="200"/>
        <w:textAlignment w:val="baseline"/>
        <w:rPr>
          <w:rFonts w:hint="eastAsia" w:ascii="黑体" w:hAnsi="黑体" w:eastAsia="黑体" w:cs="Times New Roman"/>
          <w:kern w:val="0"/>
          <w:sz w:val="32"/>
          <w:szCs w:val="32"/>
        </w:rPr>
      </w:pPr>
      <w:r>
        <w:rPr>
          <w:rFonts w:hint="eastAsia" w:ascii="黑体" w:hAnsi="黑体" w:eastAsia="黑体" w:cs="Times New Roman"/>
          <w:kern w:val="0"/>
          <w:sz w:val="32"/>
          <w:szCs w:val="32"/>
        </w:rPr>
        <w:t>六、其他需要报告的事项</w:t>
      </w:r>
    </w:p>
    <w:p>
      <w:pPr>
        <w:ind w:firstLine="640" w:firstLineChars="200"/>
        <w:rPr>
          <w:rFonts w:hint="eastAsia" w:ascii="Times New Roman" w:hAnsi="Times New Roman" w:eastAsia="仿宋_GB2312" w:cs="Times New Roman"/>
          <w:snapToGrid/>
          <w:color w:val="auto"/>
          <w:kern w:val="0"/>
          <w:sz w:val="32"/>
          <w:szCs w:val="32"/>
          <w:lang w:val="zh-CN" w:eastAsia="zh-CN" w:bidi="ar"/>
        </w:rPr>
      </w:pPr>
      <w:r>
        <w:rPr>
          <w:rFonts w:hint="eastAsia" w:ascii="Times New Roman" w:hAnsi="Times New Roman" w:eastAsia="仿宋_GB2312" w:cs="Times New Roman"/>
          <w:snapToGrid/>
          <w:color w:val="auto"/>
          <w:kern w:val="0"/>
          <w:sz w:val="32"/>
          <w:szCs w:val="32"/>
          <w:lang w:val="en-US" w:eastAsia="zh-CN" w:bidi="ar"/>
        </w:rPr>
        <w:t>2</w:t>
      </w:r>
      <w:r>
        <w:rPr>
          <w:rFonts w:hint="eastAsia" w:ascii="Times New Roman" w:hAnsi="Times New Roman" w:eastAsia="仿宋_GB2312" w:cs="Times New Roman"/>
          <w:snapToGrid/>
          <w:color w:val="auto"/>
          <w:kern w:val="0"/>
          <w:sz w:val="32"/>
          <w:szCs w:val="32"/>
          <w:lang w:val="zh-CN" w:eastAsia="zh-CN" w:bidi="ar"/>
        </w:rPr>
        <w:t>02</w:t>
      </w:r>
      <w:r>
        <w:rPr>
          <w:rFonts w:hint="eastAsia" w:ascii="Times New Roman" w:hAnsi="Times New Roman" w:eastAsia="仿宋_GB2312" w:cs="Times New Roman"/>
          <w:snapToGrid/>
          <w:color w:val="auto"/>
          <w:kern w:val="0"/>
          <w:sz w:val="32"/>
          <w:szCs w:val="32"/>
          <w:lang w:val="en-US" w:eastAsia="zh-CN" w:bidi="ar"/>
        </w:rPr>
        <w:t>3</w:t>
      </w:r>
      <w:r>
        <w:rPr>
          <w:rFonts w:hint="eastAsia" w:ascii="Times New Roman" w:hAnsi="Times New Roman" w:eastAsia="仿宋_GB2312" w:cs="Times New Roman"/>
          <w:snapToGrid/>
          <w:color w:val="auto"/>
          <w:kern w:val="0"/>
          <w:sz w:val="32"/>
          <w:szCs w:val="32"/>
          <w:lang w:val="zh-CN" w:eastAsia="zh-CN" w:bidi="ar"/>
        </w:rPr>
        <w:t>年，我局无收取信息处理费的情况。</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eastAsia="仿宋_GB2312" w:cs="Times New Roman"/>
          <w:snapToGrid/>
          <w:color w:val="auto"/>
          <w:kern w:val="0"/>
          <w:sz w:val="32"/>
          <w:szCs w:val="32"/>
          <w:lang w:val="zh-CN" w:eastAsia="zh-CN" w:bidi="ar"/>
        </w:rPr>
      </w:pPr>
      <w:r>
        <w:rPr>
          <w:rFonts w:hint="eastAsia"/>
        </w:rPr>
        <w:t xml:space="preserve">                                       </w:t>
      </w:r>
      <w:r>
        <w:rPr>
          <w:rFonts w:hint="eastAsia" w:ascii="Times New Roman" w:hAnsi="Times New Roman" w:eastAsia="仿宋_GB2312" w:cs="Times New Roman"/>
          <w:snapToGrid/>
          <w:color w:val="auto"/>
          <w:kern w:val="0"/>
          <w:sz w:val="32"/>
          <w:szCs w:val="32"/>
          <w:lang w:val="zh-CN" w:eastAsia="zh-CN" w:bidi="ar"/>
        </w:rPr>
        <w:t>国家税务总局福泉市税务局</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eastAsia="仿宋_GB2312" w:cs="Times New Roman"/>
          <w:snapToGrid/>
          <w:color w:val="auto"/>
          <w:kern w:val="0"/>
          <w:sz w:val="32"/>
          <w:szCs w:val="32"/>
          <w:lang w:val="zh-CN" w:eastAsia="zh-CN" w:bidi="ar"/>
        </w:rPr>
      </w:pPr>
      <w:r>
        <w:rPr>
          <w:rFonts w:hint="eastAsia" w:ascii="Times New Roman" w:hAnsi="Times New Roman" w:eastAsia="仿宋_GB2312" w:cs="Times New Roman"/>
          <w:snapToGrid/>
          <w:color w:val="auto"/>
          <w:kern w:val="0"/>
          <w:sz w:val="32"/>
          <w:szCs w:val="32"/>
          <w:lang w:val="zh-CN" w:eastAsia="zh-CN" w:bidi="ar"/>
        </w:rPr>
        <w:t>202</w:t>
      </w:r>
      <w:r>
        <w:rPr>
          <w:rFonts w:hint="eastAsia" w:ascii="Times New Roman" w:hAnsi="Times New Roman" w:eastAsia="仿宋_GB2312" w:cs="Times New Roman"/>
          <w:snapToGrid/>
          <w:color w:val="auto"/>
          <w:kern w:val="0"/>
          <w:sz w:val="32"/>
          <w:szCs w:val="32"/>
          <w:lang w:val="en-US" w:eastAsia="zh-CN" w:bidi="ar"/>
        </w:rPr>
        <w:t>4</w:t>
      </w:r>
      <w:r>
        <w:rPr>
          <w:rFonts w:hint="eastAsia" w:ascii="Times New Roman" w:hAnsi="Times New Roman" w:eastAsia="仿宋_GB2312" w:cs="Times New Roman"/>
          <w:snapToGrid/>
          <w:color w:val="auto"/>
          <w:kern w:val="0"/>
          <w:sz w:val="32"/>
          <w:szCs w:val="32"/>
          <w:lang w:val="zh-CN" w:eastAsia="zh-CN" w:bidi="ar"/>
        </w:rPr>
        <w:t>年1月</w:t>
      </w:r>
      <w:r>
        <w:rPr>
          <w:rFonts w:hint="eastAsia" w:ascii="Times New Roman" w:hAnsi="Times New Roman" w:eastAsia="仿宋_GB2312" w:cs="Times New Roman"/>
          <w:snapToGrid/>
          <w:color w:val="auto"/>
          <w:kern w:val="0"/>
          <w:sz w:val="32"/>
          <w:szCs w:val="32"/>
          <w:lang w:val="en-US" w:eastAsia="zh-CN" w:bidi="ar"/>
        </w:rPr>
        <w:t>25</w:t>
      </w:r>
      <w:r>
        <w:rPr>
          <w:rFonts w:hint="eastAsia" w:ascii="Times New Roman" w:hAnsi="Times New Roman" w:eastAsia="仿宋_GB2312" w:cs="Times New Roman"/>
          <w:snapToGrid/>
          <w:color w:val="auto"/>
          <w:kern w:val="0"/>
          <w:sz w:val="32"/>
          <w:szCs w:val="32"/>
          <w:lang w:val="zh-CN" w:eastAsia="zh-CN" w:bidi="ar"/>
        </w:rPr>
        <w:t>日</w:t>
      </w:r>
    </w:p>
    <w:sectPr>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629E33-4037-4A52-BEE8-FC0C3C3741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CD868A6-4550-4331-AA2F-53F36D3AA945}"/>
  </w:font>
  <w:font w:name="方正小标宋简体">
    <w:panose1 w:val="02000000000000000000"/>
    <w:charset w:val="86"/>
    <w:family w:val="script"/>
    <w:pitch w:val="default"/>
    <w:sig w:usb0="00000001" w:usb1="080E0000" w:usb2="00000000" w:usb3="00000000" w:csb0="00040000" w:csb1="00000000"/>
    <w:embedRegular r:id="rId3" w:fontKey="{45B1F812-60AB-4AF0-90A5-AB2CE1689866}"/>
  </w:font>
  <w:font w:name="仿宋_GB2312">
    <w:panose1 w:val="02010609030101010101"/>
    <w:charset w:val="86"/>
    <w:family w:val="modern"/>
    <w:pitch w:val="default"/>
    <w:sig w:usb0="00000001" w:usb1="080E0000" w:usb2="00000000" w:usb3="00000000" w:csb0="00040000" w:csb1="00000000"/>
    <w:embedRegular r:id="rId4" w:fontKey="{34A845B3-BF39-475B-9BA4-5BC24E1FFD59}"/>
  </w:font>
  <w:font w:name="楷体_GB2312">
    <w:altName w:val="楷体"/>
    <w:panose1 w:val="02010609030101010101"/>
    <w:charset w:val="86"/>
    <w:family w:val="modern"/>
    <w:pitch w:val="default"/>
    <w:sig w:usb0="00000000" w:usb1="00000000" w:usb2="00000000" w:usb3="00000000" w:csb0="00040000" w:csb1="00000000"/>
    <w:embedRegular r:id="rId5" w:fontKey="{2E2997F5-9156-49F1-8F47-CD40CC43A5DB}"/>
  </w:font>
  <w:font w:name="楷体">
    <w:panose1 w:val="02010609060101010101"/>
    <w:charset w:val="86"/>
    <w:family w:val="auto"/>
    <w:pitch w:val="default"/>
    <w:sig w:usb0="800002BF" w:usb1="38CF7CFA" w:usb2="00000016" w:usb3="00000000" w:csb0="00040001" w:csb1="00000000"/>
    <w:embedRegular r:id="rId6" w:fontKey="{22CBF464-FA29-41F3-9747-DF7D026C0C4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ZDg0NGYxNGEyNTE1Y2NhZjc4ZjNiYWYyM2NiOTIifQ=="/>
    <w:docVar w:name="KSO_WPS_MARK_KEY" w:val="b1f71cff-f492-47da-a66b-09df4fe67801"/>
  </w:docVars>
  <w:rsids>
    <w:rsidRoot w:val="347B7772"/>
    <w:rsid w:val="003A6757"/>
    <w:rsid w:val="0B046DFD"/>
    <w:rsid w:val="10523D86"/>
    <w:rsid w:val="12BA72AC"/>
    <w:rsid w:val="14560E68"/>
    <w:rsid w:val="153E1099"/>
    <w:rsid w:val="15F34DA5"/>
    <w:rsid w:val="171F4A07"/>
    <w:rsid w:val="179456A2"/>
    <w:rsid w:val="1BBD2B93"/>
    <w:rsid w:val="1BD91C0A"/>
    <w:rsid w:val="1EEF5E50"/>
    <w:rsid w:val="1EF0588D"/>
    <w:rsid w:val="22DE7197"/>
    <w:rsid w:val="232C3B21"/>
    <w:rsid w:val="270065F9"/>
    <w:rsid w:val="27AE6CC2"/>
    <w:rsid w:val="29346036"/>
    <w:rsid w:val="2BA30738"/>
    <w:rsid w:val="2C9763F2"/>
    <w:rsid w:val="2D4F22D0"/>
    <w:rsid w:val="2DD7347F"/>
    <w:rsid w:val="347B7772"/>
    <w:rsid w:val="358D1B4D"/>
    <w:rsid w:val="3A5E74E8"/>
    <w:rsid w:val="3E4225FB"/>
    <w:rsid w:val="420B566A"/>
    <w:rsid w:val="4316671C"/>
    <w:rsid w:val="43E70536"/>
    <w:rsid w:val="466E7FC9"/>
    <w:rsid w:val="47816042"/>
    <w:rsid w:val="4848059A"/>
    <w:rsid w:val="4E175181"/>
    <w:rsid w:val="4E5A6F08"/>
    <w:rsid w:val="4EA52B4F"/>
    <w:rsid w:val="50A318AF"/>
    <w:rsid w:val="516C46F7"/>
    <w:rsid w:val="52A26121"/>
    <w:rsid w:val="52A75E8D"/>
    <w:rsid w:val="5421429D"/>
    <w:rsid w:val="5764029B"/>
    <w:rsid w:val="59B44CFE"/>
    <w:rsid w:val="5BAB4A87"/>
    <w:rsid w:val="604D09F8"/>
    <w:rsid w:val="61720C06"/>
    <w:rsid w:val="621C7B83"/>
    <w:rsid w:val="64610E5F"/>
    <w:rsid w:val="664321E0"/>
    <w:rsid w:val="693A60AA"/>
    <w:rsid w:val="6B950E06"/>
    <w:rsid w:val="6C271FF2"/>
    <w:rsid w:val="6F976BF1"/>
    <w:rsid w:val="71484F42"/>
    <w:rsid w:val="733C7261"/>
    <w:rsid w:val="753A01EB"/>
    <w:rsid w:val="76882BF5"/>
    <w:rsid w:val="779046FF"/>
    <w:rsid w:val="79453E7D"/>
    <w:rsid w:val="7A60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0"/>
    <w:pPr>
      <w:ind w:firstLine="880" w:firstLineChars="200"/>
    </w:p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2024-01-23T02:09:00Z</dcterms:created>
  <dc:creator>福泉市局收文员</dc:creator>
  <cp:lastModifiedBy>轻寒QH</cp:lastModifiedBy>
  <dcterms:modified xsi:type="dcterms:W3CDTF">2024-01-30T09:28:07Z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E849C95708F24CA9BB9E6C4BF74E1784</vt:lpwstr>
  </property>
</Properties>
</file>