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国家税务总局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都匀经济开发区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2023年政府信息公开工作年度报告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根据《中华人民共和国政府信息公开条例》(国务院令第711号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第五十条之规定，制作本报告。全文包括总体情况、主动公开、依申请公开、复议诉讼、存在的主要问题及改进情况以及其他需要报告的事项，报告中所列数据的统计期限自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2023年1月1日至12月31日止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报告电子版可在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国家税务总局贵州省税务局网站（http://guizhou.chinatax.gov.cn/)查阅。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如有疑问请致电国家税务总局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都匀经济开发区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税务局（联系电话：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0854-81955），竭诚欢迎您的关注支持和批评监督！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国家税务总局都匀经济开发区税务局将坚持深入贯彻落实党中央、国务院全面推进政务公开工作的决策部署，结合税收工作实际，扎实推进政务信息公开工作，不断拓展政务公开广度和深度，将政务公开贯穿税收工作全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（一）主动公开情况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年，国家税务总局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都匀经济开发区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税务局依法公开本机关工作职能、机构设置等信息，编写机构职能目录并向社会公开。按照统一部署，对照法律法规及有关规定梳理本机关直接面向公民、法人和其他组织的权责事项，编制公布权责清单并动态更新。通过微信公众号、电视台、报社及各类网络媒体等多渠道开展减税降费政策及落实情况宣传，促进减税降费政策落地生根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年，国家税务总局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都匀经济开发区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税务局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主动公开政务信息中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授予行政许可共152件、实施行政处罚共169件，未制作公开规章、行政规范性文件。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优化政务公开方式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尊重公众对税收政策、税收工作知情权，积极做好政务咨询信息的受理、办理、回复，同时进一步完善政府信息公开工作制度，强化贯彻落实，有效促进我局行政权力公开透明运行。丰富政府信息公开平台，通过办税服务厅电子宣传屏、纸质宣传资料、公告栏、黔南州税务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扎实开展</w:t>
      </w:r>
      <w:r>
        <w:rPr>
          <w:rFonts w:hint="eastAsia" w:ascii="楷体_GB2312" w:hAnsi="楷体_GB2312" w:eastAsia="楷体_GB2312" w:cs="楷体_GB2312"/>
          <w:sz w:val="32"/>
          <w:szCs w:val="32"/>
        </w:rPr>
        <w:t>依申请公开。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完善依申请公开办理程序，畅通受理渠道、切实保障社会公众的知情权、参与权。全年未收到依申请公开的政府信息申请。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夯实</w:t>
      </w:r>
      <w:r>
        <w:rPr>
          <w:rFonts w:hint="eastAsia" w:ascii="楷体_GB2312" w:hAnsi="楷体_GB2312" w:eastAsia="楷体_GB2312" w:cs="楷体_GB2312"/>
          <w:sz w:val="32"/>
          <w:szCs w:val="32"/>
        </w:rPr>
        <w:t>政府信息管理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工作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稳中求进工作总基调，坚持党对政务公开工作的全面领导，认真抓好落实。及时根据工作变化情况调整政府信息公开工作领导小组及其办公室，县局党委书记担任组长，指导和负责信息公开相关工作，促进政府信息公开工作管理透明化、规范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健全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完善</w:t>
      </w:r>
      <w:r>
        <w:rPr>
          <w:rFonts w:hint="eastAsia" w:ascii="楷体_GB2312" w:hAnsi="楷体_GB2312" w:eastAsia="楷体_GB2312" w:cs="楷体_GB2312"/>
          <w:sz w:val="32"/>
          <w:szCs w:val="32"/>
        </w:rPr>
        <w:t>监督保障机制。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结合税务部门绩效考核制度，将政府信息公开工作纳入绩效考评体系，制定科学有效的考核指标，严格督促考核指标落实，促进政府信息公开工作按照规定要求顺利推进。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4"/>
        <w:tblW w:w="0" w:type="auto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5"/>
        <w:gridCol w:w="2245"/>
        <w:gridCol w:w="2245"/>
        <w:gridCol w:w="2259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4" w:type="dxa"/>
            <w:gridSpan w:val="4"/>
            <w:tcBorders>
              <w:tl2br w:val="nil"/>
              <w:tr2bl w:val="nil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第二十条第（一）项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45" w:type="dxa"/>
            <w:tcBorders>
              <w:tl2br w:val="nil"/>
              <w:tr2bl w:val="nil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信息内容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本年制发件数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本年废止件数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现行有效件数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45" w:type="dxa"/>
            <w:tcBorders>
              <w:tl2br w:val="nil"/>
              <w:tr2bl w:val="nil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规章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45" w:type="dxa"/>
            <w:tcBorders>
              <w:tl2br w:val="nil"/>
              <w:tr2bl w:val="nil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行政规范性文件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4" w:type="dxa"/>
            <w:gridSpan w:val="4"/>
            <w:tcBorders>
              <w:tl2br w:val="nil"/>
              <w:tr2bl w:val="nil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第二十条第（五）项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45" w:type="dxa"/>
            <w:tcBorders>
              <w:tl2br w:val="nil"/>
              <w:tr2bl w:val="nil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信息内容</w:t>
            </w:r>
          </w:p>
        </w:tc>
        <w:tc>
          <w:tcPr>
            <w:tcW w:w="6749" w:type="dxa"/>
            <w:gridSpan w:val="3"/>
            <w:tcBorders>
              <w:tl2br w:val="nil"/>
              <w:tr2bl w:val="nil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本年处理决定数量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45" w:type="dxa"/>
            <w:tcBorders>
              <w:tl2br w:val="nil"/>
              <w:tr2bl w:val="nil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行政许可</w:t>
            </w:r>
          </w:p>
        </w:tc>
        <w:tc>
          <w:tcPr>
            <w:tcW w:w="6749" w:type="dxa"/>
            <w:gridSpan w:val="3"/>
            <w:tcBorders>
              <w:tl2br w:val="nil"/>
              <w:tr2bl w:val="nil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152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4" w:type="dxa"/>
            <w:gridSpan w:val="4"/>
            <w:tcBorders>
              <w:tl2br w:val="nil"/>
              <w:tr2bl w:val="nil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第二十条第（六）项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45" w:type="dxa"/>
            <w:tcBorders>
              <w:tl2br w:val="nil"/>
              <w:tr2bl w:val="nil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信息内容</w:t>
            </w:r>
          </w:p>
        </w:tc>
        <w:tc>
          <w:tcPr>
            <w:tcW w:w="6749" w:type="dxa"/>
            <w:gridSpan w:val="3"/>
            <w:tcBorders>
              <w:tl2br w:val="nil"/>
              <w:tr2bl w:val="nil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本年处理决定数量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45" w:type="dxa"/>
            <w:tcBorders>
              <w:tl2br w:val="nil"/>
              <w:tr2bl w:val="nil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行政处罚</w:t>
            </w:r>
          </w:p>
        </w:tc>
        <w:tc>
          <w:tcPr>
            <w:tcW w:w="6749" w:type="dxa"/>
            <w:gridSpan w:val="3"/>
            <w:tcBorders>
              <w:tl2br w:val="nil"/>
              <w:tr2bl w:val="nil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169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45" w:type="dxa"/>
            <w:tcBorders>
              <w:tl2br w:val="nil"/>
              <w:tr2bl w:val="nil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行政强制</w:t>
            </w:r>
          </w:p>
        </w:tc>
        <w:tc>
          <w:tcPr>
            <w:tcW w:w="6749" w:type="dxa"/>
            <w:gridSpan w:val="3"/>
            <w:tcBorders>
              <w:tl2br w:val="nil"/>
              <w:tr2bl w:val="nil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4" w:type="dxa"/>
            <w:gridSpan w:val="4"/>
            <w:tcBorders>
              <w:tl2br w:val="nil"/>
              <w:tr2bl w:val="nil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第二十条第（八）项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45" w:type="dxa"/>
            <w:tcBorders>
              <w:tl2br w:val="nil"/>
              <w:tr2bl w:val="nil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信息内容</w:t>
            </w:r>
          </w:p>
        </w:tc>
        <w:tc>
          <w:tcPr>
            <w:tcW w:w="6749" w:type="dxa"/>
            <w:gridSpan w:val="3"/>
            <w:tcBorders>
              <w:tl2br w:val="nil"/>
              <w:tr2bl w:val="nil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本年收费金额（单位：万元）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45" w:type="dxa"/>
            <w:tcBorders>
              <w:tl2br w:val="nil"/>
              <w:tr2bl w:val="nil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行政事业性收费</w:t>
            </w:r>
          </w:p>
        </w:tc>
        <w:tc>
          <w:tcPr>
            <w:tcW w:w="6749" w:type="dxa"/>
            <w:gridSpan w:val="3"/>
            <w:tcBorders>
              <w:tl2br w:val="nil"/>
              <w:tr2bl w:val="nil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4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990"/>
        <w:gridCol w:w="2757"/>
        <w:gridCol w:w="641"/>
        <w:gridCol w:w="642"/>
        <w:gridCol w:w="642"/>
        <w:gridCol w:w="642"/>
        <w:gridCol w:w="642"/>
        <w:gridCol w:w="642"/>
        <w:gridCol w:w="64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1" w:type="dxa"/>
            <w:gridSpan w:val="3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（本列数据的勾稽关系为：第一项加第二项之和，等于第三项加第四项之和）</w:t>
            </w:r>
          </w:p>
        </w:tc>
        <w:tc>
          <w:tcPr>
            <w:tcW w:w="4493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1" w:type="dxa"/>
            <w:gridSpan w:val="3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41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自然人</w:t>
            </w:r>
          </w:p>
        </w:tc>
        <w:tc>
          <w:tcPr>
            <w:tcW w:w="3210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法人或其他组织</w:t>
            </w:r>
          </w:p>
        </w:tc>
        <w:tc>
          <w:tcPr>
            <w:tcW w:w="642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1" w:type="dxa"/>
            <w:gridSpan w:val="3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商业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企业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机构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社会公益组织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法律服务机构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其他</w:t>
            </w:r>
          </w:p>
        </w:tc>
        <w:tc>
          <w:tcPr>
            <w:tcW w:w="642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1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6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1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6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三、本年度办理结果</w:t>
            </w:r>
          </w:p>
        </w:tc>
        <w:tc>
          <w:tcPr>
            <w:tcW w:w="374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（一）予以公开</w:t>
            </w:r>
          </w:p>
        </w:tc>
        <w:tc>
          <w:tcPr>
            <w:tcW w:w="6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74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（二）部分公开（区分处理的，只计这一情形，不计其他情形）</w:t>
            </w:r>
          </w:p>
        </w:tc>
        <w:tc>
          <w:tcPr>
            <w:tcW w:w="6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（三）不予公开</w:t>
            </w:r>
          </w:p>
        </w:tc>
        <w:tc>
          <w:tcPr>
            <w:tcW w:w="2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1.属于国家秘密</w:t>
            </w:r>
          </w:p>
        </w:tc>
        <w:tc>
          <w:tcPr>
            <w:tcW w:w="6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2.其他法律行政法规禁止公开</w:t>
            </w:r>
          </w:p>
        </w:tc>
        <w:tc>
          <w:tcPr>
            <w:tcW w:w="6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3.危及“三安全一稳定”</w:t>
            </w:r>
          </w:p>
        </w:tc>
        <w:tc>
          <w:tcPr>
            <w:tcW w:w="6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4.保护第三方合法权益</w:t>
            </w:r>
          </w:p>
        </w:tc>
        <w:tc>
          <w:tcPr>
            <w:tcW w:w="6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5.属于三类内部事务信息</w:t>
            </w:r>
          </w:p>
        </w:tc>
        <w:tc>
          <w:tcPr>
            <w:tcW w:w="6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6.属于四类过程性信息</w:t>
            </w:r>
          </w:p>
        </w:tc>
        <w:tc>
          <w:tcPr>
            <w:tcW w:w="6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7.属于行政执法案卷</w:t>
            </w:r>
          </w:p>
        </w:tc>
        <w:tc>
          <w:tcPr>
            <w:tcW w:w="6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8.属于行政查询事项</w:t>
            </w:r>
          </w:p>
        </w:tc>
        <w:tc>
          <w:tcPr>
            <w:tcW w:w="6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（四）无法提供</w:t>
            </w:r>
          </w:p>
        </w:tc>
        <w:tc>
          <w:tcPr>
            <w:tcW w:w="2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1.本机关不掌握相关政府信息</w:t>
            </w:r>
          </w:p>
        </w:tc>
        <w:tc>
          <w:tcPr>
            <w:tcW w:w="6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2.没有现成信息需要另行制作</w:t>
            </w:r>
          </w:p>
        </w:tc>
        <w:tc>
          <w:tcPr>
            <w:tcW w:w="6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3.补正后申请内容仍不明确</w:t>
            </w:r>
          </w:p>
        </w:tc>
        <w:tc>
          <w:tcPr>
            <w:tcW w:w="6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（五）不予处理</w:t>
            </w:r>
          </w:p>
        </w:tc>
        <w:tc>
          <w:tcPr>
            <w:tcW w:w="2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1.信访举报投诉类申请</w:t>
            </w:r>
          </w:p>
        </w:tc>
        <w:tc>
          <w:tcPr>
            <w:tcW w:w="6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2.重复申请</w:t>
            </w:r>
          </w:p>
        </w:tc>
        <w:tc>
          <w:tcPr>
            <w:tcW w:w="6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3.要求提供公开出版物</w:t>
            </w:r>
          </w:p>
        </w:tc>
        <w:tc>
          <w:tcPr>
            <w:tcW w:w="6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4.无正当理由大量反复申请</w:t>
            </w:r>
          </w:p>
        </w:tc>
        <w:tc>
          <w:tcPr>
            <w:tcW w:w="6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5.要求行政机关确认或重新出具已获取信息</w:t>
            </w:r>
          </w:p>
        </w:tc>
        <w:tc>
          <w:tcPr>
            <w:tcW w:w="6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（六）其他处理</w:t>
            </w:r>
          </w:p>
        </w:tc>
        <w:tc>
          <w:tcPr>
            <w:tcW w:w="2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1.申请人无正当理由逾期不补正、行政机关不再处理其政府信息公开申请</w:t>
            </w:r>
          </w:p>
        </w:tc>
        <w:tc>
          <w:tcPr>
            <w:tcW w:w="6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2.申请人逾期未按收费通知要求缴纳费用、行政机关不再处理其政府信息公开申请</w:t>
            </w:r>
          </w:p>
        </w:tc>
        <w:tc>
          <w:tcPr>
            <w:tcW w:w="6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3.其他</w:t>
            </w:r>
          </w:p>
        </w:tc>
        <w:tc>
          <w:tcPr>
            <w:tcW w:w="6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747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（七）总计</w:t>
            </w:r>
          </w:p>
        </w:tc>
        <w:tc>
          <w:tcPr>
            <w:tcW w:w="6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1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四、结转下年度继续办理</w:t>
            </w:r>
          </w:p>
        </w:tc>
        <w:tc>
          <w:tcPr>
            <w:tcW w:w="64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政府信息公开行政复议、行政诉讼情况</w:t>
      </w:r>
    </w:p>
    <w:tbl>
      <w:tblPr>
        <w:tblStyle w:val="4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595"/>
        <w:gridCol w:w="595"/>
        <w:gridCol w:w="596"/>
        <w:gridCol w:w="607"/>
        <w:gridCol w:w="596"/>
        <w:gridCol w:w="596"/>
        <w:gridCol w:w="596"/>
        <w:gridCol w:w="596"/>
        <w:gridCol w:w="619"/>
        <w:gridCol w:w="596"/>
        <w:gridCol w:w="596"/>
        <w:gridCol w:w="596"/>
        <w:gridCol w:w="596"/>
        <w:gridCol w:w="61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0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行政复议</w:t>
            </w:r>
          </w:p>
        </w:tc>
        <w:tc>
          <w:tcPr>
            <w:tcW w:w="6510" w:type="dxa"/>
            <w:gridSpan w:val="10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总计</w:t>
            </w:r>
          </w:p>
        </w:tc>
        <w:tc>
          <w:tcPr>
            <w:tcW w:w="3255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维持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纠正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结果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审结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总计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维持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纠正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结果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审结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6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tabs>
          <w:tab w:val="left" w:pos="2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）存在问题。</w:t>
      </w:r>
    </w:p>
    <w:p>
      <w:pPr>
        <w:keepNext w:val="0"/>
        <w:keepLines w:val="0"/>
        <w:pageBreakBefore w:val="0"/>
        <w:widowControl w:val="0"/>
        <w:tabs>
          <w:tab w:val="left" w:pos="2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2023年我局高度重视政府信息公开工作，不断提高公开质量，优化管理制度。但依然存在一些不足：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总体成效不够明显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减税降费政策落实工作中，虽然我局积极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采取多形式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宣传，但仍然存在部分纳税人缴费人不清楚相关税费政策、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不能准确享受税惠红利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的情况。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政府信息公开信息化水平需进一步提高。在推进税费政策公开落实工作中，存在线上宣传效果不强，线下宣传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形式不够新颖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2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改进措施。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加强税企交流，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充分利用税企联络平台、税源走访等形式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及时回应纳税人缴费人咨询，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梳理各类税惠政策并精准推送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，充分发挥信息公开助力经济平稳健康发展的作用。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持续加强信息平台建设，运用好微信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公众号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税务网站等信息媒体，积极推广运用税企互动平台等专业税企联络信息平台，及时发布新信息，提高税企互动平台直播的质量，不断提高纳税人缴费人通过信息平台获取税费政策的积极性，进而推动政府信息公开信息化水平的提高。</w:t>
      </w:r>
    </w:p>
    <w:p>
      <w:pPr>
        <w:keepNext w:val="0"/>
        <w:keepLines w:val="0"/>
        <w:pageBreakBefore w:val="0"/>
        <w:widowControl w:val="0"/>
        <w:tabs>
          <w:tab w:val="left" w:pos="2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国家税务总局都匀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经济开发区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税务局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无收取政府信息公开信息处理费情况。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本报告中相关统计数据为国家税务总局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都匀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经济开发区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税务局本级数据。</w:t>
      </w:r>
    </w:p>
    <w:p/>
    <w:sectPr>
      <w:footerReference r:id="rId3" w:type="default"/>
      <w:pgSz w:w="11906" w:h="16838"/>
      <w:pgMar w:top="2098" w:right="1531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C586B1-93A3-471D-B647-783BD1C2C4A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998583F-4809-4F13-86D0-83EFB651228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F20D4EB-00C3-4E62-9EBB-2437734F94A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7CD2B18-7B77-43D1-B0B3-1A8CAD52CD11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040E31D8-7F76-4C50-9723-2DB51033D66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D1ABF2"/>
    <w:multiLevelType w:val="singleLevel"/>
    <w:tmpl w:val="E8D1ABF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433E3F2"/>
    <w:multiLevelType w:val="singleLevel"/>
    <w:tmpl w:val="F433E3F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7031246"/>
    <w:multiLevelType w:val="singleLevel"/>
    <w:tmpl w:val="070312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BF14CF9"/>
    <w:multiLevelType w:val="singleLevel"/>
    <w:tmpl w:val="3BF14CF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ZDg0NGYxNGEyNTE1Y2NhZjc4ZjNiYWYyM2NiOTIifQ=="/>
  </w:docVars>
  <w:rsids>
    <w:rsidRoot w:val="00000000"/>
    <w:rsid w:val="245E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2024-01-30T09:20:39Z</dcterms:created>
  <dc:creator>Administrator</dc:creator>
  <cp:lastModifiedBy>轻寒QH</cp:lastModifiedBy>
  <dcterms:modified xsi:type="dcterms:W3CDTF">2024-01-30T09:23:16Z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5C1999321DFF4BB18A97C8F6AA838408_12</vt:lpwstr>
  </property>
</Properties>
</file>