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0EE2">
      <w:pPr>
        <w:keepNext w:val="0"/>
        <w:keepLines w:val="0"/>
        <w:pageBreakBefore w:val="0"/>
        <w:widowControl w:val="0"/>
        <w:kinsoku/>
        <w:wordWrap/>
        <w:overflowPunct/>
        <w:autoSpaceDE/>
        <w:autoSpaceDN/>
        <w:bidi w:val="0"/>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国家税务总局贵阳经济技术开发区税务局2</w:t>
      </w:r>
      <w:r>
        <w:rPr>
          <w:rFonts w:ascii="方正小标宋简体" w:hAnsi="方正小标宋简体" w:eastAsia="方正小标宋简体"/>
          <w:sz w:val="44"/>
          <w:szCs w:val="44"/>
        </w:rPr>
        <w:t>0</w:t>
      </w:r>
      <w:r>
        <w:rPr>
          <w:rFonts w:hint="eastAsia" w:ascii="方正小标宋简体" w:hAnsi="方正小标宋简体" w:eastAsia="方正小标宋简体"/>
          <w:sz w:val="44"/>
          <w:szCs w:val="44"/>
        </w:rPr>
        <w:t>2</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年政府信息公开工作年度报告</w:t>
      </w:r>
    </w:p>
    <w:p w14:paraId="0C693091">
      <w:pPr>
        <w:keepNext w:val="0"/>
        <w:keepLines w:val="0"/>
        <w:pageBreakBefore w:val="0"/>
        <w:widowControl w:val="0"/>
        <w:kinsoku/>
        <w:wordWrap/>
        <w:overflowPunct/>
        <w:topLinePunct/>
        <w:autoSpaceDE/>
        <w:autoSpaceDN/>
        <w:bidi w:val="0"/>
        <w:snapToGrid/>
        <w:spacing w:line="560" w:lineRule="exact"/>
        <w:ind w:firstLine="656" w:firstLineChars="200"/>
        <w:textAlignment w:val="auto"/>
        <w:rPr>
          <w:rFonts w:hint="eastAsia" w:ascii="仿宋_GB2312" w:eastAsia="仿宋_GB2312"/>
          <w:spacing w:val="4"/>
          <w:sz w:val="32"/>
          <w:szCs w:val="32"/>
        </w:rPr>
      </w:pPr>
    </w:p>
    <w:p w14:paraId="3ECB9180">
      <w:pPr>
        <w:keepNext w:val="0"/>
        <w:keepLines w:val="0"/>
        <w:pageBreakBefore w:val="0"/>
        <w:widowControl w:val="0"/>
        <w:kinsoku/>
        <w:wordWrap/>
        <w:overflowPunct/>
        <w:topLinePunct/>
        <w:autoSpaceDE/>
        <w:autoSpaceDN/>
        <w:bidi w:val="0"/>
        <w:snapToGrid/>
        <w:spacing w:line="560" w:lineRule="exact"/>
        <w:ind w:firstLine="656" w:firstLineChars="200"/>
        <w:textAlignment w:val="auto"/>
        <w:rPr>
          <w:rFonts w:ascii="仿宋_GB2312" w:eastAsia="仿宋_GB2312"/>
          <w:spacing w:val="4"/>
          <w:sz w:val="32"/>
          <w:szCs w:val="32"/>
        </w:rPr>
      </w:pPr>
      <w:r>
        <w:rPr>
          <w:rFonts w:hint="eastAsia" w:ascii="仿宋_GB2312" w:eastAsia="仿宋_GB2312"/>
          <w:spacing w:val="4"/>
          <w:sz w:val="32"/>
          <w:szCs w:val="32"/>
        </w:rPr>
        <w:t>本报告根据《中华人民共和国政府信息公开条例》要求编制。</w:t>
      </w:r>
      <w:r>
        <w:rPr>
          <w:rFonts w:hint="eastAsia" w:ascii="仿宋_GB2312" w:eastAsia="仿宋_GB2312"/>
          <w:color w:val="auto"/>
          <w:spacing w:val="4"/>
          <w:sz w:val="32"/>
          <w:szCs w:val="32"/>
        </w:rPr>
        <w:t>全文包括总体情况、主动公开政府信息情况、收到和处理政府信息公开申请情况、政府信息公开行政复议</w:t>
      </w:r>
      <w:r>
        <w:rPr>
          <w:rFonts w:hint="eastAsia" w:ascii="仿宋_GB2312" w:eastAsia="仿宋_GB2312"/>
          <w:color w:val="auto"/>
          <w:spacing w:val="4"/>
          <w:sz w:val="32"/>
          <w:szCs w:val="32"/>
          <w:lang w:eastAsia="zh-CN"/>
        </w:rPr>
        <w:t>和</w:t>
      </w:r>
      <w:r>
        <w:rPr>
          <w:rFonts w:hint="eastAsia" w:ascii="仿宋_GB2312" w:eastAsia="仿宋_GB2312"/>
          <w:color w:val="auto"/>
          <w:spacing w:val="4"/>
          <w:sz w:val="32"/>
          <w:szCs w:val="32"/>
        </w:rPr>
        <w:t>行政诉讼情况、存在的主要问题及改进情况</w:t>
      </w:r>
      <w:r>
        <w:rPr>
          <w:rFonts w:hint="eastAsia" w:ascii="仿宋_GB2312" w:eastAsia="仿宋_GB2312"/>
          <w:color w:val="auto"/>
          <w:spacing w:val="4"/>
          <w:sz w:val="32"/>
          <w:szCs w:val="32"/>
          <w:lang w:eastAsia="zh-CN"/>
        </w:rPr>
        <w:t>和</w:t>
      </w:r>
      <w:r>
        <w:rPr>
          <w:rFonts w:hint="eastAsia" w:ascii="仿宋_GB2312" w:eastAsia="仿宋_GB2312"/>
          <w:color w:val="auto"/>
          <w:spacing w:val="4"/>
          <w:sz w:val="32"/>
          <w:szCs w:val="32"/>
        </w:rPr>
        <w:t>其他需要报告的事项。</w:t>
      </w:r>
      <w:r>
        <w:rPr>
          <w:rFonts w:hint="eastAsia" w:ascii="仿宋_GB2312" w:eastAsia="仿宋_GB2312"/>
          <w:spacing w:val="4"/>
          <w:sz w:val="32"/>
          <w:szCs w:val="32"/>
        </w:rPr>
        <w:t>报告中所列数据为国家税务总局贵阳</w:t>
      </w:r>
      <w:r>
        <w:rPr>
          <w:rFonts w:hint="eastAsia" w:ascii="仿宋_GB2312" w:eastAsia="仿宋_GB2312"/>
          <w:spacing w:val="4"/>
          <w:sz w:val="32"/>
          <w:szCs w:val="32"/>
          <w:lang w:eastAsia="zh-CN"/>
        </w:rPr>
        <w:t>经济</w:t>
      </w:r>
      <w:r>
        <w:rPr>
          <w:rFonts w:hint="eastAsia" w:ascii="仿宋_GB2312" w:eastAsia="仿宋_GB2312"/>
          <w:spacing w:val="4"/>
          <w:sz w:val="32"/>
          <w:szCs w:val="32"/>
        </w:rPr>
        <w:t>技术开发区税务局2</w:t>
      </w:r>
      <w:r>
        <w:rPr>
          <w:rFonts w:ascii="仿宋_GB2312" w:eastAsia="仿宋_GB2312"/>
          <w:spacing w:val="4"/>
          <w:sz w:val="32"/>
          <w:szCs w:val="32"/>
        </w:rPr>
        <w:t>0</w:t>
      </w:r>
      <w:r>
        <w:rPr>
          <w:rFonts w:hint="eastAsia" w:ascii="仿宋_GB2312" w:eastAsia="仿宋_GB2312"/>
          <w:spacing w:val="4"/>
          <w:sz w:val="32"/>
          <w:szCs w:val="32"/>
        </w:rPr>
        <w:t>2</w:t>
      </w:r>
      <w:r>
        <w:rPr>
          <w:rFonts w:hint="eastAsia" w:ascii="仿宋_GB2312" w:eastAsia="仿宋_GB2312"/>
          <w:spacing w:val="4"/>
          <w:sz w:val="32"/>
          <w:szCs w:val="32"/>
          <w:lang w:val="en-US" w:eastAsia="zh-CN"/>
        </w:rPr>
        <w:t>4</w:t>
      </w:r>
      <w:r>
        <w:rPr>
          <w:rFonts w:hint="eastAsia" w:ascii="仿宋_GB2312" w:eastAsia="仿宋_GB2312"/>
          <w:spacing w:val="4"/>
          <w:sz w:val="32"/>
          <w:szCs w:val="32"/>
        </w:rPr>
        <w:t>年整年数据，统计期限自202</w:t>
      </w:r>
      <w:r>
        <w:rPr>
          <w:rFonts w:hint="eastAsia" w:ascii="仿宋_GB2312" w:eastAsia="仿宋_GB2312"/>
          <w:spacing w:val="4"/>
          <w:sz w:val="32"/>
          <w:szCs w:val="32"/>
          <w:lang w:val="en-US" w:eastAsia="zh-CN"/>
        </w:rPr>
        <w:t>4</w:t>
      </w:r>
      <w:r>
        <w:rPr>
          <w:rFonts w:hint="eastAsia" w:ascii="仿宋_GB2312" w:eastAsia="仿宋_GB2312"/>
          <w:spacing w:val="4"/>
          <w:sz w:val="32"/>
          <w:szCs w:val="32"/>
        </w:rPr>
        <w:t>年1月1日起至202</w:t>
      </w:r>
      <w:r>
        <w:rPr>
          <w:rFonts w:hint="eastAsia" w:ascii="仿宋_GB2312" w:eastAsia="仿宋_GB2312"/>
          <w:spacing w:val="4"/>
          <w:sz w:val="32"/>
          <w:szCs w:val="32"/>
          <w:lang w:val="en-US" w:eastAsia="zh-CN"/>
        </w:rPr>
        <w:t>4</w:t>
      </w:r>
      <w:r>
        <w:rPr>
          <w:rFonts w:hint="eastAsia" w:ascii="仿宋_GB2312" w:eastAsia="仿宋_GB2312"/>
          <w:spacing w:val="4"/>
          <w:sz w:val="32"/>
          <w:szCs w:val="32"/>
        </w:rPr>
        <w:t>年12月31日止。报告电子版可在国家税务总局贵州省税务局网站（http</w:t>
      </w:r>
      <w:r>
        <w:rPr>
          <w:rFonts w:hint="eastAsia" w:ascii="仿宋_GB2312" w:eastAsia="仿宋_GB2312"/>
          <w:spacing w:val="4"/>
          <w:sz w:val="32"/>
          <w:szCs w:val="32"/>
          <w:lang w:val="en-US" w:eastAsia="zh-CN"/>
        </w:rPr>
        <w:t>s</w:t>
      </w:r>
      <w:r>
        <w:rPr>
          <w:rFonts w:hint="eastAsia" w:ascii="仿宋_GB2312" w:eastAsia="仿宋_GB2312"/>
          <w:spacing w:val="4"/>
          <w:sz w:val="32"/>
          <w:szCs w:val="32"/>
        </w:rPr>
        <w:t>://guizhou.chinatax.gov.cn/）查阅。如有疑问请致电国家税务总局贵阳经济技术开发区税务局（联系电话：0851-83834337），竭诚欢迎您的关注支持和批评监督！</w:t>
      </w:r>
    </w:p>
    <w:p w14:paraId="7FABCB88">
      <w:pPr>
        <w:keepNext w:val="0"/>
        <w:keepLines w:val="0"/>
        <w:pageBreakBefore w:val="0"/>
        <w:widowControl w:val="0"/>
        <w:kinsoku/>
        <w:wordWrap/>
        <w:overflowPunct/>
        <w:autoSpaceDE/>
        <w:autoSpaceDN/>
        <w:bidi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一、总体情况</w:t>
      </w:r>
    </w:p>
    <w:p w14:paraId="0849DCDB">
      <w:pPr>
        <w:keepNext w:val="0"/>
        <w:keepLines w:val="0"/>
        <w:pageBreakBefore w:val="0"/>
        <w:widowControl w:val="0"/>
        <w:kinsoku/>
        <w:wordWrap/>
        <w:overflowPunct/>
        <w:autoSpaceDE/>
        <w:autoSpaceDN/>
        <w:bidi w:val="0"/>
        <w:snapToGrid/>
        <w:spacing w:line="560" w:lineRule="exact"/>
        <w:ind w:firstLine="656"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202</w:t>
      </w:r>
      <w:r>
        <w:rPr>
          <w:rFonts w:hint="eastAsia" w:ascii="仿宋_GB2312" w:eastAsia="仿宋_GB2312"/>
          <w:spacing w:val="4"/>
          <w:sz w:val="32"/>
          <w:szCs w:val="32"/>
          <w:lang w:val="en-US" w:eastAsia="zh-CN"/>
        </w:rPr>
        <w:t>4</w:t>
      </w:r>
      <w:r>
        <w:rPr>
          <w:rFonts w:hint="eastAsia" w:ascii="仿宋_GB2312" w:eastAsia="仿宋_GB2312"/>
          <w:spacing w:val="4"/>
          <w:sz w:val="32"/>
          <w:szCs w:val="32"/>
        </w:rPr>
        <w:t>年，国家税务总局贵阳经济技术开发区税务局（以下简称“经开区税务局”）按照《中华人民共和国政府信息公开条例》以及</w:t>
      </w:r>
      <w:r>
        <w:rPr>
          <w:rFonts w:hint="eastAsia" w:ascii="仿宋_GB2312" w:eastAsia="仿宋_GB2312"/>
          <w:spacing w:val="4"/>
          <w:sz w:val="32"/>
          <w:szCs w:val="32"/>
          <w:lang w:eastAsia="zh-CN"/>
        </w:rPr>
        <w:t>贵州省税务局、</w:t>
      </w:r>
      <w:r>
        <w:rPr>
          <w:rFonts w:hint="eastAsia" w:ascii="仿宋_GB2312" w:eastAsia="仿宋_GB2312"/>
          <w:spacing w:val="4"/>
          <w:sz w:val="32"/>
          <w:szCs w:val="32"/>
        </w:rPr>
        <w:t>贵阳市税务局、贵阳经开区管委会关于政府信息公开的工作部署，推进权力运行、政务服务全过程公开，切实保障人民群众知情权、参与权、表达权和监督权。</w:t>
      </w:r>
    </w:p>
    <w:p w14:paraId="075DFA39">
      <w:pPr>
        <w:keepNext w:val="0"/>
        <w:keepLines w:val="0"/>
        <w:pageBreakBefore w:val="0"/>
        <w:widowControl w:val="0"/>
        <w:kinsoku/>
        <w:wordWrap/>
        <w:overflowPunct/>
        <w:autoSpaceDE/>
        <w:autoSpaceDN/>
        <w:bidi w:val="0"/>
        <w:snapToGrid/>
        <w:spacing w:line="560" w:lineRule="exact"/>
        <w:ind w:firstLine="656" w:firstLineChars="200"/>
        <w:textAlignment w:val="auto"/>
        <w:rPr>
          <w:rFonts w:hint="eastAsia" w:ascii="楷体_GB2312" w:eastAsia="楷体_GB2312"/>
          <w:color w:val="auto"/>
          <w:spacing w:val="4"/>
          <w:sz w:val="32"/>
          <w:szCs w:val="32"/>
          <w:highlight w:val="none"/>
          <w:lang w:val="en-US" w:eastAsia="zh-CN"/>
        </w:rPr>
      </w:pPr>
      <w:r>
        <w:rPr>
          <w:rFonts w:hint="eastAsia" w:ascii="楷体_GB2312" w:eastAsia="楷体_GB2312"/>
          <w:color w:val="auto"/>
          <w:spacing w:val="4"/>
          <w:sz w:val="32"/>
          <w:szCs w:val="32"/>
          <w:highlight w:val="none"/>
        </w:rPr>
        <w:t>（一）主动公开情况</w:t>
      </w:r>
    </w:p>
    <w:p w14:paraId="04C0C5DF">
      <w:pPr>
        <w:keepNext w:val="0"/>
        <w:keepLines w:val="0"/>
        <w:pageBreakBefore w:val="0"/>
        <w:widowControl w:val="0"/>
        <w:kinsoku/>
        <w:wordWrap/>
        <w:overflowPunct/>
        <w:autoSpaceDE/>
        <w:autoSpaceDN/>
        <w:bidi w:val="0"/>
        <w:snapToGrid/>
        <w:spacing w:line="560" w:lineRule="exact"/>
        <w:ind w:firstLine="656"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经开区税务局累计公开</w:t>
      </w:r>
      <w:r>
        <w:rPr>
          <w:rFonts w:hint="eastAsia" w:ascii="仿宋_GB2312" w:eastAsia="仿宋_GB2312"/>
          <w:spacing w:val="4"/>
          <w:sz w:val="32"/>
          <w:szCs w:val="32"/>
          <w:lang w:eastAsia="zh-CN"/>
        </w:rPr>
        <w:t>发布</w:t>
      </w:r>
      <w:r>
        <w:rPr>
          <w:rFonts w:hint="eastAsia" w:ascii="仿宋_GB2312" w:eastAsia="仿宋_GB2312"/>
          <w:spacing w:val="4"/>
          <w:sz w:val="32"/>
          <w:szCs w:val="32"/>
        </w:rPr>
        <w:t>规章0条，规范性文件0条</w:t>
      </w:r>
      <w:r>
        <w:rPr>
          <w:rFonts w:hint="eastAsia" w:ascii="仿宋_GB2312" w:eastAsia="仿宋_GB2312"/>
          <w:color w:val="auto"/>
          <w:spacing w:val="4"/>
          <w:sz w:val="32"/>
          <w:szCs w:val="32"/>
          <w:highlight w:val="none"/>
          <w:lang w:eastAsia="zh-CN"/>
        </w:rPr>
        <w:t>；</w:t>
      </w:r>
      <w:r>
        <w:rPr>
          <w:rFonts w:hint="eastAsia" w:ascii="仿宋_GB2312" w:eastAsia="仿宋_GB2312"/>
          <w:color w:val="auto"/>
          <w:spacing w:val="4"/>
          <w:sz w:val="32"/>
          <w:szCs w:val="32"/>
          <w:highlight w:val="none"/>
        </w:rPr>
        <w:t>行政许可共处理决定</w:t>
      </w:r>
      <w:r>
        <w:rPr>
          <w:rFonts w:hint="eastAsia" w:ascii="仿宋_GB2312" w:eastAsia="仿宋_GB2312"/>
          <w:color w:val="auto"/>
          <w:spacing w:val="4"/>
          <w:sz w:val="30"/>
          <w:szCs w:val="30"/>
          <w:highlight w:val="none"/>
        </w:rPr>
        <w:t>38</w:t>
      </w:r>
      <w:r>
        <w:rPr>
          <w:rFonts w:hint="eastAsia" w:ascii="仿宋_GB2312" w:eastAsia="仿宋_GB2312"/>
          <w:color w:val="auto"/>
          <w:spacing w:val="4"/>
          <w:sz w:val="32"/>
          <w:szCs w:val="32"/>
          <w:highlight w:val="none"/>
        </w:rPr>
        <w:t>条；</w:t>
      </w:r>
      <w:r>
        <w:rPr>
          <w:rFonts w:hint="eastAsia" w:ascii="仿宋_GB2312" w:eastAsia="仿宋_GB2312"/>
          <w:spacing w:val="4"/>
          <w:sz w:val="32"/>
          <w:szCs w:val="32"/>
        </w:rPr>
        <w:t>行政处罚共处理决定1</w:t>
      </w:r>
      <w:r>
        <w:rPr>
          <w:rFonts w:hint="eastAsia" w:ascii="仿宋_GB2312" w:eastAsia="仿宋_GB2312"/>
          <w:spacing w:val="4"/>
          <w:sz w:val="32"/>
          <w:szCs w:val="32"/>
          <w:lang w:val="en-US" w:eastAsia="zh-CN"/>
        </w:rPr>
        <w:t>781</w:t>
      </w:r>
      <w:r>
        <w:rPr>
          <w:rFonts w:hint="eastAsia" w:ascii="仿宋_GB2312" w:eastAsia="仿宋_GB2312"/>
          <w:spacing w:val="4"/>
          <w:sz w:val="32"/>
          <w:szCs w:val="32"/>
        </w:rPr>
        <w:t>条，行政强制共处理决定0条；行政事业性收费</w:t>
      </w:r>
      <w:r>
        <w:rPr>
          <w:rFonts w:hint="eastAsia" w:ascii="仿宋_GB2312" w:eastAsia="仿宋_GB2312"/>
          <w:spacing w:val="4"/>
          <w:sz w:val="32"/>
          <w:szCs w:val="32"/>
          <w:lang w:val="en-US" w:eastAsia="zh-CN"/>
        </w:rPr>
        <w:t>0</w:t>
      </w:r>
      <w:r>
        <w:rPr>
          <w:rFonts w:hint="eastAsia" w:ascii="仿宋_GB2312" w:eastAsia="仿宋_GB2312"/>
          <w:spacing w:val="4"/>
          <w:sz w:val="32"/>
          <w:szCs w:val="32"/>
        </w:rPr>
        <w:t>元。</w:t>
      </w:r>
    </w:p>
    <w:p w14:paraId="375923B4">
      <w:pPr>
        <w:keepNext w:val="0"/>
        <w:keepLines w:val="0"/>
        <w:pageBreakBefore w:val="0"/>
        <w:widowControl w:val="0"/>
        <w:kinsoku/>
        <w:wordWrap/>
        <w:overflowPunct/>
        <w:autoSpaceDE/>
        <w:autoSpaceDN/>
        <w:bidi w:val="0"/>
        <w:snapToGrid/>
        <w:spacing w:line="560" w:lineRule="exact"/>
        <w:ind w:firstLine="656" w:firstLineChars="200"/>
        <w:textAlignment w:val="auto"/>
        <w:rPr>
          <w:rFonts w:hint="eastAsia" w:ascii="楷体_GB2312" w:eastAsia="楷体_GB2312"/>
          <w:color w:val="auto"/>
          <w:spacing w:val="4"/>
          <w:sz w:val="32"/>
          <w:szCs w:val="32"/>
          <w:highlight w:val="none"/>
          <w:lang w:eastAsia="zh-CN"/>
        </w:rPr>
      </w:pPr>
      <w:r>
        <w:rPr>
          <w:rFonts w:hint="eastAsia" w:ascii="楷体_GB2312" w:eastAsia="楷体_GB2312"/>
          <w:color w:val="auto"/>
          <w:spacing w:val="4"/>
          <w:sz w:val="32"/>
          <w:szCs w:val="32"/>
          <w:highlight w:val="none"/>
        </w:rPr>
        <w:t>（二）依申请公开情况</w:t>
      </w:r>
    </w:p>
    <w:p w14:paraId="78DF90CE">
      <w:pPr>
        <w:keepNext w:val="0"/>
        <w:keepLines w:val="0"/>
        <w:pageBreakBefore w:val="0"/>
        <w:widowControl w:val="0"/>
        <w:kinsoku/>
        <w:wordWrap/>
        <w:overflowPunct/>
        <w:autoSpaceDE/>
        <w:autoSpaceDN/>
        <w:bidi w:val="0"/>
        <w:snapToGrid/>
        <w:spacing w:line="560" w:lineRule="exact"/>
        <w:ind w:firstLine="656" w:firstLineChars="200"/>
        <w:textAlignment w:val="auto"/>
        <w:rPr>
          <w:rFonts w:hint="eastAsia" w:ascii="仿宋_GB2312" w:eastAsia="仿宋_GB2312"/>
          <w:color w:val="auto"/>
          <w:spacing w:val="4"/>
          <w:sz w:val="32"/>
          <w:szCs w:val="32"/>
          <w:highlight w:val="none"/>
        </w:rPr>
      </w:pPr>
      <w:r>
        <w:rPr>
          <w:rFonts w:hint="eastAsia" w:ascii="仿宋_GB2312" w:eastAsia="仿宋_GB2312"/>
          <w:color w:val="auto"/>
          <w:spacing w:val="4"/>
          <w:sz w:val="32"/>
          <w:szCs w:val="32"/>
          <w:highlight w:val="none"/>
        </w:rPr>
        <w:t>全年收到政府信息公开申请</w:t>
      </w:r>
      <w:r>
        <w:rPr>
          <w:rFonts w:hint="eastAsia" w:ascii="仿宋_GB2312" w:eastAsia="仿宋_GB2312"/>
          <w:color w:val="auto"/>
          <w:spacing w:val="4"/>
          <w:sz w:val="32"/>
          <w:szCs w:val="32"/>
          <w:highlight w:val="none"/>
          <w:lang w:eastAsia="zh-CN"/>
        </w:rPr>
        <w:t>事项</w:t>
      </w:r>
      <w:r>
        <w:rPr>
          <w:rFonts w:hint="eastAsia" w:ascii="仿宋_GB2312" w:eastAsia="仿宋_GB2312"/>
          <w:color w:val="auto"/>
          <w:spacing w:val="4"/>
          <w:sz w:val="32"/>
          <w:szCs w:val="32"/>
          <w:highlight w:val="none"/>
          <w:lang w:val="en-US" w:eastAsia="zh-CN"/>
        </w:rPr>
        <w:t>3项，已</w:t>
      </w:r>
      <w:r>
        <w:rPr>
          <w:rFonts w:hint="eastAsia" w:ascii="仿宋_GB2312" w:eastAsia="仿宋_GB2312"/>
          <w:snapToGrid w:val="0"/>
          <w:color w:val="auto"/>
          <w:kern w:val="0"/>
          <w:sz w:val="32"/>
          <w:szCs w:val="32"/>
        </w:rPr>
        <w:t>按照法定程序和权限办理</w:t>
      </w:r>
      <w:r>
        <w:rPr>
          <w:rFonts w:hint="eastAsia" w:ascii="仿宋_GB2312" w:eastAsia="仿宋_GB2312"/>
          <w:color w:val="auto"/>
          <w:spacing w:val="4"/>
          <w:sz w:val="32"/>
          <w:szCs w:val="32"/>
          <w:highlight w:val="none"/>
        </w:rPr>
        <w:t>。</w:t>
      </w:r>
    </w:p>
    <w:p w14:paraId="57B43BD9">
      <w:pPr>
        <w:keepNext w:val="0"/>
        <w:keepLines w:val="0"/>
        <w:pageBreakBefore w:val="0"/>
        <w:widowControl w:val="0"/>
        <w:kinsoku/>
        <w:wordWrap/>
        <w:overflowPunct/>
        <w:autoSpaceDE/>
        <w:autoSpaceDN/>
        <w:bidi w:val="0"/>
        <w:snapToGrid/>
        <w:spacing w:line="560" w:lineRule="exact"/>
        <w:ind w:firstLine="656" w:firstLineChars="200"/>
        <w:textAlignment w:val="auto"/>
        <w:rPr>
          <w:rFonts w:hint="eastAsia" w:ascii="楷体_GB2312" w:eastAsia="楷体_GB2312"/>
          <w:spacing w:val="4"/>
          <w:sz w:val="32"/>
          <w:szCs w:val="32"/>
        </w:rPr>
      </w:pPr>
      <w:r>
        <w:rPr>
          <w:rFonts w:hint="eastAsia" w:ascii="楷体_GB2312" w:eastAsia="楷体_GB2312"/>
          <w:spacing w:val="4"/>
          <w:sz w:val="32"/>
          <w:szCs w:val="32"/>
        </w:rPr>
        <w:t>（三）政府信息管理情况</w:t>
      </w:r>
    </w:p>
    <w:p w14:paraId="50D0B5CE">
      <w:pPr>
        <w:keepNext w:val="0"/>
        <w:keepLines w:val="0"/>
        <w:pageBreakBefore w:val="0"/>
        <w:widowControl w:val="0"/>
        <w:kinsoku/>
        <w:wordWrap/>
        <w:overflowPunct/>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b w:val="0"/>
          <w:bCs/>
          <w:sz w:val="32"/>
          <w:szCs w:val="32"/>
        </w:rPr>
        <w:t>一是印发《国家税务总局贵阳经济技术开发区税务局关于全面推进政务公开工作的实施办法》，明确政务公开范围和标准，将政务公开工作任务细化为11大项36小项，层层压实责任，形成“主要领导亲自抓、分管领导负责抓、部门领导直接抓”的良好局面。二是</w:t>
      </w:r>
      <w:r>
        <w:rPr>
          <w:rFonts w:hint="eastAsia" w:ascii="仿宋_GB2312" w:hAnsi="仿宋_GB2312" w:eastAsia="仿宋_GB2312" w:cs="仿宋_GB2312"/>
          <w:b w:val="0"/>
          <w:bCs/>
          <w:sz w:val="32"/>
          <w:szCs w:val="32"/>
        </w:rPr>
        <w:t>设置政务公开工作联络员，确保政务公开工作有效衔接和有</w:t>
      </w:r>
      <w:r>
        <w:rPr>
          <w:rFonts w:hint="eastAsia" w:ascii="仿宋_GB2312" w:hAnsi="仿宋_GB2312" w:eastAsia="仿宋_GB2312" w:cs="仿宋_GB2312"/>
          <w:b w:val="0"/>
          <w:bCs/>
          <w:sz w:val="32"/>
          <w:szCs w:val="32"/>
          <w:lang w:eastAsia="zh-CN"/>
        </w:rPr>
        <w:t>序</w:t>
      </w:r>
      <w:r>
        <w:rPr>
          <w:rFonts w:hint="eastAsia" w:ascii="仿宋_GB2312" w:hAnsi="仿宋_GB2312" w:eastAsia="仿宋_GB2312" w:cs="仿宋_GB2312"/>
          <w:b w:val="0"/>
          <w:bCs/>
          <w:sz w:val="32"/>
          <w:szCs w:val="32"/>
        </w:rPr>
        <w:t>推进</w:t>
      </w:r>
      <w:r>
        <w:rPr>
          <w:rFonts w:hint="eastAsia" w:ascii="仿宋_GB2312" w:eastAsia="仿宋_GB2312"/>
          <w:b w:val="0"/>
          <w:bCs/>
          <w:sz w:val="32"/>
          <w:szCs w:val="32"/>
        </w:rPr>
        <w:t>。三是</w:t>
      </w:r>
      <w:r>
        <w:rPr>
          <w:rFonts w:hint="eastAsia" w:ascii="仿宋_GB2312" w:hAnsi="仿宋_GB2312" w:eastAsia="仿宋_GB2312" w:cs="仿宋_GB2312"/>
          <w:b w:val="0"/>
          <w:bCs/>
          <w:sz w:val="32"/>
          <w:szCs w:val="32"/>
        </w:rPr>
        <w:t>将政务公开工作纳入年度目标绩效考核，纳入年度综合督查，</w:t>
      </w:r>
      <w:r>
        <w:rPr>
          <w:rFonts w:hint="eastAsia" w:ascii="仿宋_GB2312" w:eastAsia="仿宋_GB2312"/>
          <w:b w:val="0"/>
          <w:bCs/>
          <w:sz w:val="32"/>
          <w:szCs w:val="32"/>
        </w:rPr>
        <w:t>把政务公开工作与税收业务工作同部署、同检查、同考核、同推进</w:t>
      </w:r>
      <w:r>
        <w:rPr>
          <w:rFonts w:hint="eastAsia" w:ascii="仿宋_GB2312" w:hAnsi="仿宋_GB2312" w:eastAsia="仿宋_GB2312" w:cs="仿宋_GB2312"/>
          <w:sz w:val="32"/>
          <w:szCs w:val="32"/>
        </w:rPr>
        <w:t>。</w:t>
      </w:r>
    </w:p>
    <w:p w14:paraId="191E5F47">
      <w:pPr>
        <w:keepNext w:val="0"/>
        <w:keepLines w:val="0"/>
        <w:pageBreakBefore w:val="0"/>
        <w:widowControl w:val="0"/>
        <w:kinsoku/>
        <w:wordWrap/>
        <w:overflowPunct/>
        <w:autoSpaceDE/>
        <w:autoSpaceDN/>
        <w:bidi w:val="0"/>
        <w:snapToGrid/>
        <w:spacing w:line="560" w:lineRule="exact"/>
        <w:ind w:firstLine="656" w:firstLineChars="200"/>
        <w:textAlignment w:val="auto"/>
        <w:rPr>
          <w:rFonts w:hint="eastAsia" w:ascii="楷体_GB2312" w:eastAsia="楷体_GB2312"/>
          <w:spacing w:val="4"/>
          <w:sz w:val="32"/>
          <w:szCs w:val="32"/>
          <w:highlight w:val="none"/>
        </w:rPr>
      </w:pPr>
      <w:r>
        <w:rPr>
          <w:rFonts w:hint="eastAsia" w:ascii="楷体_GB2312" w:eastAsia="楷体_GB2312"/>
          <w:spacing w:val="4"/>
          <w:sz w:val="32"/>
          <w:szCs w:val="32"/>
          <w:highlight w:val="none"/>
        </w:rPr>
        <w:t>（四）政府信息公开平台建设情况</w:t>
      </w:r>
    </w:p>
    <w:p w14:paraId="5BC616E8">
      <w:pPr>
        <w:keepNext w:val="0"/>
        <w:keepLines w:val="0"/>
        <w:pageBreakBefore w:val="0"/>
        <w:widowControl w:val="0"/>
        <w:kinsoku/>
        <w:wordWrap/>
        <w:overflowPunct/>
        <w:autoSpaceDE/>
        <w:autoSpaceDN/>
        <w:bidi w:val="0"/>
        <w:snapToGrid/>
        <w:spacing w:line="560" w:lineRule="exact"/>
        <w:ind w:firstLine="640" w:firstLineChars="200"/>
        <w:textAlignment w:val="auto"/>
        <w:rPr>
          <w:rFonts w:hint="eastAsia" w:ascii="仿宋_GB2312" w:eastAsia="仿宋_GB2312"/>
          <w:b w:val="0"/>
          <w:bCs w:val="0"/>
          <w:spacing w:val="4"/>
          <w:sz w:val="32"/>
          <w:szCs w:val="32"/>
        </w:rPr>
      </w:pPr>
      <w:r>
        <w:rPr>
          <w:rFonts w:hint="eastAsia" w:ascii="仿宋_GB2312" w:hAnsi="仿宋_GB2312" w:eastAsia="仿宋_GB2312" w:cs="仿宋_GB2312"/>
          <w:b w:val="0"/>
          <w:bCs w:val="0"/>
          <w:sz w:val="32"/>
          <w:szCs w:val="32"/>
          <w:highlight w:val="none"/>
        </w:rPr>
        <w:t>一是加强硬件建设，为办税服务厅配齐了电子触摸屏、电子显示屏，统一设置了公告栏，统一规范墙面宣传格式，统一办税程序示意图，建立“税视服务通”远程辅导中心，向纳税人</w:t>
      </w:r>
      <w:r>
        <w:rPr>
          <w:rFonts w:hint="eastAsia" w:ascii="仿宋_GB2312" w:hAnsi="仿宋_GB2312" w:eastAsia="仿宋_GB2312" w:cs="仿宋_GB2312"/>
          <w:b w:val="0"/>
          <w:bCs w:val="0"/>
          <w:sz w:val="32"/>
          <w:szCs w:val="32"/>
          <w:highlight w:val="none"/>
          <w:lang w:eastAsia="zh-CN"/>
        </w:rPr>
        <w:t>推送税费政策</w:t>
      </w:r>
      <w:r>
        <w:rPr>
          <w:rFonts w:hint="eastAsia" w:ascii="仿宋_GB2312" w:hAnsi="仿宋_GB2312" w:eastAsia="仿宋_GB2312" w:cs="仿宋_GB2312"/>
          <w:b w:val="0"/>
          <w:bCs w:val="0"/>
          <w:sz w:val="32"/>
          <w:szCs w:val="32"/>
          <w:highlight w:val="none"/>
        </w:rPr>
        <w:t>，使纳税人</w:t>
      </w:r>
      <w:r>
        <w:rPr>
          <w:rFonts w:hint="eastAsia" w:ascii="仿宋_GB2312" w:hAnsi="仿宋_GB2312" w:eastAsia="仿宋_GB2312" w:cs="仿宋_GB2312"/>
          <w:b w:val="0"/>
          <w:bCs w:val="0"/>
          <w:sz w:val="32"/>
          <w:szCs w:val="32"/>
          <w:highlight w:val="none"/>
          <w:lang w:eastAsia="zh-CN"/>
        </w:rPr>
        <w:t>缴费人</w:t>
      </w:r>
      <w:r>
        <w:rPr>
          <w:rFonts w:hint="eastAsia" w:ascii="仿宋_GB2312" w:hAnsi="仿宋_GB2312" w:eastAsia="仿宋_GB2312" w:cs="仿宋_GB2312"/>
          <w:b w:val="0"/>
          <w:bCs w:val="0"/>
          <w:sz w:val="32"/>
          <w:szCs w:val="32"/>
          <w:highlight w:val="none"/>
        </w:rPr>
        <w:t>及时了解各项</w:t>
      </w:r>
      <w:r>
        <w:rPr>
          <w:rFonts w:hint="eastAsia" w:ascii="仿宋_GB2312" w:hAnsi="仿宋_GB2312" w:eastAsia="仿宋_GB2312" w:cs="仿宋_GB2312"/>
          <w:b w:val="0"/>
          <w:bCs w:val="0"/>
          <w:sz w:val="32"/>
          <w:szCs w:val="32"/>
          <w:highlight w:val="none"/>
          <w:lang w:eastAsia="zh-CN"/>
        </w:rPr>
        <w:t>税费</w:t>
      </w:r>
      <w:r>
        <w:rPr>
          <w:rFonts w:hint="eastAsia" w:ascii="仿宋_GB2312" w:hAnsi="仿宋_GB2312" w:eastAsia="仿宋_GB2312" w:cs="仿宋_GB2312"/>
          <w:b w:val="0"/>
          <w:bCs w:val="0"/>
          <w:sz w:val="32"/>
          <w:szCs w:val="32"/>
          <w:highlight w:val="none"/>
        </w:rPr>
        <w:t>政策。二是充分发挥办税服务厅的前沿阵地作用，结合</w:t>
      </w:r>
      <w:r>
        <w:rPr>
          <w:rFonts w:hint="eastAsia" w:ascii="仿宋_GB2312" w:hAnsi="仿宋_GB2312" w:eastAsia="仿宋_GB2312" w:cs="仿宋_GB2312"/>
          <w:b w:val="0"/>
          <w:bCs w:val="0"/>
          <w:sz w:val="32"/>
          <w:szCs w:val="32"/>
          <w:highlight w:val="none"/>
          <w:lang w:eastAsia="zh-CN"/>
        </w:rPr>
        <w:t>办税服务厅领导</w:t>
      </w:r>
      <w:r>
        <w:rPr>
          <w:rFonts w:hint="eastAsia" w:ascii="仿宋_GB2312" w:hAnsi="仿宋_GB2312" w:eastAsia="仿宋_GB2312" w:cs="仿宋_GB2312"/>
          <w:b w:val="0"/>
          <w:bCs w:val="0"/>
          <w:sz w:val="32"/>
          <w:szCs w:val="32"/>
          <w:highlight w:val="none"/>
        </w:rPr>
        <w:t>值班制度，广泛宣传最新政策和税收信息，将办税服务厅建设成为政务公开宣传的主阵地。</w:t>
      </w:r>
    </w:p>
    <w:p w14:paraId="203097E2">
      <w:pPr>
        <w:keepNext w:val="0"/>
        <w:keepLines w:val="0"/>
        <w:pageBreakBefore w:val="0"/>
        <w:widowControl w:val="0"/>
        <w:kinsoku/>
        <w:wordWrap/>
        <w:overflowPunct/>
        <w:autoSpaceDE/>
        <w:autoSpaceDN/>
        <w:bidi w:val="0"/>
        <w:snapToGrid/>
        <w:spacing w:line="560" w:lineRule="exact"/>
        <w:ind w:firstLine="656" w:firstLineChars="200"/>
        <w:textAlignment w:val="auto"/>
        <w:rPr>
          <w:rFonts w:hint="eastAsia" w:ascii="楷体_GB2312" w:eastAsia="楷体_GB2312"/>
          <w:spacing w:val="4"/>
          <w:sz w:val="32"/>
          <w:szCs w:val="32"/>
        </w:rPr>
      </w:pPr>
      <w:r>
        <w:rPr>
          <w:rFonts w:hint="eastAsia" w:ascii="楷体_GB2312" w:eastAsia="楷体_GB2312"/>
          <w:spacing w:val="4"/>
          <w:sz w:val="32"/>
          <w:szCs w:val="32"/>
        </w:rPr>
        <w:t>（五）监督保障情况</w:t>
      </w:r>
    </w:p>
    <w:p w14:paraId="4FE3E8F4">
      <w:pPr>
        <w:keepNext w:val="0"/>
        <w:keepLines w:val="0"/>
        <w:pageBreakBefore w:val="0"/>
        <w:widowControl w:val="0"/>
        <w:kinsoku/>
        <w:wordWrap/>
        <w:overflowPunct/>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经开区税务局始终将政务公开工作作为中心任务抓紧抓好，认真组织开展绩效考核，对局内各部门政务公开工作进行全面督查，及时找出工作中的薄弱环节，切实加以完善，保证政务公开工作的长效化和制度化。</w:t>
      </w:r>
    </w:p>
    <w:p w14:paraId="0A7623A0">
      <w:pPr>
        <w:spacing w:line="560" w:lineRule="exact"/>
        <w:ind w:firstLine="640" w:firstLineChars="200"/>
        <w:rPr>
          <w:rFonts w:ascii="黑体" w:hAnsi="黑体" w:eastAsia="黑体"/>
          <w:color w:val="auto"/>
          <w:szCs w:val="32"/>
          <w:highlight w:val="none"/>
        </w:rPr>
      </w:pPr>
      <w:r>
        <w:rPr>
          <w:rFonts w:hint="eastAsia" w:ascii="黑体" w:hAnsi="黑体" w:eastAsia="黑体" w:cs="黑体"/>
          <w:color w:val="auto"/>
          <w:sz w:val="32"/>
          <w:szCs w:val="32"/>
          <w:highlight w:val="none"/>
        </w:rPr>
        <w:t>二、主动公开政府信息情况</w:t>
      </w:r>
    </w:p>
    <w:tbl>
      <w:tblPr>
        <w:tblStyle w:val="5"/>
        <w:tblW w:w="8284" w:type="dxa"/>
        <w:jc w:val="center"/>
        <w:tblLayout w:type="autofit"/>
        <w:tblCellMar>
          <w:top w:w="0" w:type="dxa"/>
          <w:left w:w="108" w:type="dxa"/>
          <w:bottom w:w="0" w:type="dxa"/>
          <w:right w:w="108" w:type="dxa"/>
        </w:tblCellMar>
      </w:tblPr>
      <w:tblGrid>
        <w:gridCol w:w="2732"/>
        <w:gridCol w:w="1942"/>
        <w:gridCol w:w="1942"/>
        <w:gridCol w:w="1668"/>
      </w:tblGrid>
      <w:tr w14:paraId="38178403">
        <w:tblPrEx>
          <w:tblCellMar>
            <w:top w:w="0" w:type="dxa"/>
            <w:left w:w="108" w:type="dxa"/>
            <w:bottom w:w="0" w:type="dxa"/>
            <w:right w:w="108" w:type="dxa"/>
          </w:tblCellMar>
        </w:tblPrEx>
        <w:trPr>
          <w:trHeight w:val="90" w:hRule="atLeast"/>
          <w:jc w:val="center"/>
        </w:trPr>
        <w:tc>
          <w:tcPr>
            <w:tcW w:w="8284" w:type="dxa"/>
            <w:gridSpan w:val="4"/>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5814E29F">
            <w:pPr>
              <w:widowControl/>
              <w:jc w:val="center"/>
              <w:rPr>
                <w:rFonts w:ascii="方正粗黑宋简体" w:hAnsi="方正粗黑宋简体" w:eastAsia="方正粗黑宋简体"/>
                <w:color w:val="auto"/>
                <w:kern w:val="0"/>
                <w:sz w:val="24"/>
                <w:szCs w:val="24"/>
              </w:rPr>
            </w:pPr>
            <w:r>
              <w:rPr>
                <w:rFonts w:hint="eastAsia" w:ascii="仿宋_GB2312" w:hAnsi="仿宋_GB2312" w:eastAsia="仿宋_GB2312" w:cs="仿宋_GB2312"/>
                <w:color w:val="auto"/>
                <w:kern w:val="0"/>
                <w:sz w:val="20"/>
                <w:szCs w:val="20"/>
              </w:rPr>
              <w:t>第二十条第（一）项</w:t>
            </w:r>
          </w:p>
        </w:tc>
      </w:tr>
      <w:tr w14:paraId="6A7DC11E">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53D7AD2">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信息内容</w:t>
            </w:r>
          </w:p>
        </w:tc>
        <w:tc>
          <w:tcPr>
            <w:tcW w:w="1942" w:type="dxa"/>
            <w:tcBorders>
              <w:top w:val="single" w:color="auto" w:sz="4" w:space="0"/>
              <w:left w:val="single" w:color="auto" w:sz="4" w:space="0"/>
              <w:bottom w:val="single" w:color="auto" w:sz="4" w:space="0"/>
              <w:right w:val="single" w:color="auto" w:sz="4" w:space="0"/>
            </w:tcBorders>
            <w:vAlign w:val="center"/>
          </w:tcPr>
          <w:p w14:paraId="0C7A277F">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本年制发件数</w:t>
            </w:r>
          </w:p>
        </w:tc>
        <w:tc>
          <w:tcPr>
            <w:tcW w:w="1942" w:type="dxa"/>
            <w:tcBorders>
              <w:top w:val="single" w:color="auto" w:sz="4" w:space="0"/>
              <w:left w:val="single" w:color="auto" w:sz="4" w:space="0"/>
              <w:bottom w:val="single" w:color="auto" w:sz="4" w:space="0"/>
              <w:right w:val="single" w:color="auto" w:sz="4" w:space="0"/>
            </w:tcBorders>
            <w:vAlign w:val="center"/>
          </w:tcPr>
          <w:p w14:paraId="3378F108">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本年废止件数</w:t>
            </w:r>
          </w:p>
        </w:tc>
        <w:tc>
          <w:tcPr>
            <w:tcW w:w="1668" w:type="dxa"/>
            <w:tcBorders>
              <w:top w:val="single" w:color="auto" w:sz="4" w:space="0"/>
              <w:left w:val="single" w:color="auto" w:sz="4" w:space="0"/>
              <w:bottom w:val="single" w:color="auto" w:sz="4" w:space="0"/>
              <w:right w:val="single" w:color="auto" w:sz="4" w:space="0"/>
            </w:tcBorders>
            <w:vAlign w:val="center"/>
          </w:tcPr>
          <w:p w14:paraId="4EA03CEB">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现行有效件数</w:t>
            </w:r>
          </w:p>
        </w:tc>
      </w:tr>
      <w:tr w14:paraId="70C91D64">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1F9C313">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规章</w:t>
            </w:r>
          </w:p>
        </w:tc>
        <w:tc>
          <w:tcPr>
            <w:tcW w:w="1942" w:type="dxa"/>
            <w:tcBorders>
              <w:top w:val="single" w:color="auto" w:sz="4" w:space="0"/>
              <w:left w:val="single" w:color="auto" w:sz="4" w:space="0"/>
              <w:bottom w:val="single" w:color="auto" w:sz="4" w:space="0"/>
              <w:right w:val="single" w:color="auto" w:sz="4" w:space="0"/>
            </w:tcBorders>
            <w:vAlign w:val="center"/>
          </w:tcPr>
          <w:p w14:paraId="350E09BA">
            <w:pPr>
              <w:widowControl/>
              <w:jc w:val="center"/>
              <w:rPr>
                <w:rFonts w:ascii="黑体" w:hAnsi="黑体" w:eastAsia="黑体"/>
                <w:color w:val="auto"/>
                <w:kern w:val="0"/>
                <w:sz w:val="20"/>
                <w:szCs w:val="20"/>
              </w:rPr>
            </w:pPr>
            <w:r>
              <w:rPr>
                <w:rFonts w:hAnsi="黑体" w:eastAsia="黑体"/>
                <w:color w:val="auto"/>
                <w:kern w:val="0"/>
                <w:sz w:val="20"/>
                <w:szCs w:val="20"/>
              </w:rPr>
              <w:t>0</w:t>
            </w:r>
          </w:p>
        </w:tc>
        <w:tc>
          <w:tcPr>
            <w:tcW w:w="1942" w:type="dxa"/>
            <w:tcBorders>
              <w:top w:val="single" w:color="auto" w:sz="4" w:space="0"/>
              <w:left w:val="single" w:color="auto" w:sz="4" w:space="0"/>
              <w:bottom w:val="single" w:color="auto" w:sz="4" w:space="0"/>
              <w:right w:val="single" w:color="auto" w:sz="4" w:space="0"/>
            </w:tcBorders>
            <w:vAlign w:val="center"/>
          </w:tcPr>
          <w:p w14:paraId="75D8A3AF">
            <w:pPr>
              <w:widowControl/>
              <w:jc w:val="center"/>
              <w:rPr>
                <w:rFonts w:ascii="黑体" w:hAnsi="黑体" w:eastAsia="黑体"/>
                <w:color w:val="auto"/>
                <w:kern w:val="0"/>
                <w:sz w:val="20"/>
                <w:szCs w:val="20"/>
              </w:rPr>
            </w:pPr>
            <w:r>
              <w:rPr>
                <w:rFonts w:hAnsi="黑体" w:eastAsia="黑体"/>
                <w:color w:val="auto"/>
                <w:kern w:val="0"/>
                <w:sz w:val="20"/>
                <w:szCs w:val="20"/>
              </w:rPr>
              <w:t>0</w:t>
            </w:r>
          </w:p>
        </w:tc>
        <w:tc>
          <w:tcPr>
            <w:tcW w:w="1668" w:type="dxa"/>
            <w:tcBorders>
              <w:top w:val="single" w:color="auto" w:sz="4" w:space="0"/>
              <w:left w:val="single" w:color="auto" w:sz="4" w:space="0"/>
              <w:bottom w:val="single" w:color="auto" w:sz="4" w:space="0"/>
              <w:right w:val="single" w:color="auto" w:sz="4" w:space="0"/>
            </w:tcBorders>
            <w:vAlign w:val="center"/>
          </w:tcPr>
          <w:p w14:paraId="0DF49DAF">
            <w:pPr>
              <w:widowControl/>
              <w:jc w:val="center"/>
              <w:rPr>
                <w:rFonts w:ascii="黑体" w:hAnsi="黑体" w:eastAsia="黑体"/>
                <w:color w:val="auto"/>
                <w:kern w:val="0"/>
                <w:sz w:val="20"/>
                <w:szCs w:val="20"/>
              </w:rPr>
            </w:pPr>
            <w:r>
              <w:rPr>
                <w:rFonts w:hAnsi="黑体" w:eastAsia="黑体"/>
                <w:color w:val="auto"/>
                <w:kern w:val="0"/>
                <w:sz w:val="20"/>
                <w:szCs w:val="20"/>
              </w:rPr>
              <w:t>0</w:t>
            </w:r>
          </w:p>
        </w:tc>
      </w:tr>
      <w:tr w14:paraId="4143EA04">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BC82A60">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行政规范性文件</w:t>
            </w:r>
          </w:p>
        </w:tc>
        <w:tc>
          <w:tcPr>
            <w:tcW w:w="1942" w:type="dxa"/>
            <w:tcBorders>
              <w:top w:val="single" w:color="auto" w:sz="4" w:space="0"/>
              <w:left w:val="single" w:color="auto" w:sz="4" w:space="0"/>
              <w:bottom w:val="single" w:color="auto" w:sz="4" w:space="0"/>
              <w:right w:val="single" w:color="auto" w:sz="4" w:space="0"/>
            </w:tcBorders>
            <w:vAlign w:val="center"/>
          </w:tcPr>
          <w:p w14:paraId="57DE6F2C">
            <w:pPr>
              <w:widowControl/>
              <w:jc w:val="center"/>
              <w:rPr>
                <w:rFonts w:ascii="黑体" w:hAnsi="黑体" w:eastAsia="黑体"/>
                <w:color w:val="auto"/>
                <w:kern w:val="0"/>
                <w:sz w:val="20"/>
                <w:szCs w:val="20"/>
              </w:rPr>
            </w:pPr>
            <w:r>
              <w:rPr>
                <w:rFonts w:hAnsi="黑体" w:eastAsia="黑体"/>
                <w:color w:val="auto"/>
                <w:kern w:val="0"/>
                <w:sz w:val="20"/>
                <w:szCs w:val="20"/>
              </w:rPr>
              <w:t>0</w:t>
            </w:r>
          </w:p>
        </w:tc>
        <w:tc>
          <w:tcPr>
            <w:tcW w:w="1942" w:type="dxa"/>
            <w:tcBorders>
              <w:top w:val="single" w:color="auto" w:sz="4" w:space="0"/>
              <w:left w:val="single" w:color="auto" w:sz="4" w:space="0"/>
              <w:bottom w:val="single" w:color="auto" w:sz="4" w:space="0"/>
              <w:right w:val="single" w:color="auto" w:sz="4" w:space="0"/>
            </w:tcBorders>
            <w:vAlign w:val="center"/>
          </w:tcPr>
          <w:p w14:paraId="1B91564E">
            <w:pPr>
              <w:widowControl/>
              <w:jc w:val="center"/>
              <w:rPr>
                <w:rFonts w:ascii="黑体" w:hAnsi="黑体" w:eastAsia="黑体"/>
                <w:color w:val="auto"/>
                <w:kern w:val="0"/>
                <w:sz w:val="20"/>
                <w:szCs w:val="20"/>
              </w:rPr>
            </w:pPr>
            <w:r>
              <w:rPr>
                <w:rFonts w:hAnsi="黑体" w:eastAsia="黑体"/>
                <w:color w:val="auto"/>
                <w:kern w:val="0"/>
                <w:sz w:val="20"/>
                <w:szCs w:val="20"/>
              </w:rPr>
              <w:t>0</w:t>
            </w:r>
          </w:p>
        </w:tc>
        <w:tc>
          <w:tcPr>
            <w:tcW w:w="1668" w:type="dxa"/>
            <w:tcBorders>
              <w:top w:val="single" w:color="auto" w:sz="4" w:space="0"/>
              <w:left w:val="single" w:color="auto" w:sz="4" w:space="0"/>
              <w:bottom w:val="single" w:color="auto" w:sz="4" w:space="0"/>
              <w:right w:val="single" w:color="auto" w:sz="4" w:space="0"/>
            </w:tcBorders>
            <w:vAlign w:val="center"/>
          </w:tcPr>
          <w:p w14:paraId="4BFD070E">
            <w:pPr>
              <w:widowControl/>
              <w:jc w:val="center"/>
              <w:rPr>
                <w:rFonts w:ascii="黑体" w:hAnsi="黑体" w:eastAsia="黑体"/>
                <w:color w:val="auto"/>
                <w:kern w:val="0"/>
                <w:sz w:val="20"/>
                <w:szCs w:val="20"/>
              </w:rPr>
            </w:pPr>
            <w:r>
              <w:rPr>
                <w:rFonts w:hAnsi="黑体" w:eastAsia="黑体"/>
                <w:color w:val="auto"/>
                <w:kern w:val="0"/>
                <w:sz w:val="20"/>
                <w:szCs w:val="20"/>
              </w:rPr>
              <w:t>0</w:t>
            </w:r>
          </w:p>
        </w:tc>
      </w:tr>
      <w:tr w14:paraId="41868CF7">
        <w:tblPrEx>
          <w:tblCellMar>
            <w:top w:w="0" w:type="dxa"/>
            <w:left w:w="108" w:type="dxa"/>
            <w:bottom w:w="0" w:type="dxa"/>
            <w:right w:w="108" w:type="dxa"/>
          </w:tblCellMar>
        </w:tblPrEx>
        <w:trPr>
          <w:trHeight w:val="283" w:hRule="atLeast"/>
          <w:jc w:val="center"/>
        </w:trPr>
        <w:tc>
          <w:tcPr>
            <w:tcW w:w="8284" w:type="dxa"/>
            <w:gridSpan w:val="4"/>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4EC7B2DE">
            <w:pPr>
              <w:widowControl/>
              <w:jc w:val="center"/>
              <w:rPr>
                <w:rFonts w:ascii="方正粗黑宋简体" w:hAnsi="方正粗黑宋简体" w:eastAsia="方正粗黑宋简体"/>
                <w:color w:val="auto"/>
                <w:kern w:val="0"/>
                <w:sz w:val="20"/>
                <w:szCs w:val="20"/>
              </w:rPr>
            </w:pPr>
            <w:r>
              <w:rPr>
                <w:rFonts w:hint="eastAsia" w:ascii="仿宋_GB2312" w:hAnsi="仿宋_GB2312" w:eastAsia="仿宋_GB2312" w:cs="仿宋_GB2312"/>
                <w:color w:val="auto"/>
                <w:kern w:val="0"/>
                <w:sz w:val="20"/>
                <w:szCs w:val="20"/>
              </w:rPr>
              <w:t>第二十条第（五）项</w:t>
            </w:r>
          </w:p>
        </w:tc>
      </w:tr>
      <w:tr w14:paraId="65C91FAB">
        <w:tblPrEx>
          <w:tblCellMar>
            <w:top w:w="0" w:type="dxa"/>
            <w:left w:w="108" w:type="dxa"/>
            <w:bottom w:w="0" w:type="dxa"/>
            <w:right w:w="108" w:type="dxa"/>
          </w:tblCellMar>
        </w:tblPrEx>
        <w:trPr>
          <w:trHeight w:val="442"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DA2759D">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vAlign w:val="center"/>
          </w:tcPr>
          <w:p w14:paraId="7F62C93F">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本年处理决定数量</w:t>
            </w:r>
          </w:p>
        </w:tc>
      </w:tr>
      <w:tr w14:paraId="4FB6E69F">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6AB736F6">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行政许可</w:t>
            </w:r>
          </w:p>
        </w:tc>
        <w:tc>
          <w:tcPr>
            <w:tcW w:w="5552" w:type="dxa"/>
            <w:gridSpan w:val="3"/>
            <w:tcBorders>
              <w:top w:val="single" w:color="auto" w:sz="4" w:space="0"/>
              <w:left w:val="single" w:color="auto" w:sz="4" w:space="0"/>
              <w:bottom w:val="single" w:color="auto" w:sz="4" w:space="0"/>
              <w:right w:val="single" w:color="auto" w:sz="4" w:space="0"/>
            </w:tcBorders>
            <w:vAlign w:val="center"/>
          </w:tcPr>
          <w:p w14:paraId="0221429E">
            <w:pPr>
              <w:widowControl/>
              <w:jc w:val="center"/>
              <w:rPr>
                <w:rFonts w:hint="default" w:ascii="黑体" w:hAnsi="黑体" w:eastAsia="黑体"/>
                <w:color w:val="auto"/>
                <w:kern w:val="0"/>
                <w:sz w:val="20"/>
                <w:szCs w:val="20"/>
                <w:lang w:val="en-US"/>
              </w:rPr>
            </w:pPr>
            <w:r>
              <w:rPr>
                <w:rFonts w:hint="eastAsia" w:ascii="黑体" w:hAnsi="黑体" w:eastAsia="黑体" w:cs="Times New Roman"/>
                <w:color w:val="auto"/>
                <w:sz w:val="22"/>
                <w:highlight w:val="none"/>
                <w:lang w:val="en-US" w:eastAsia="zh-CN"/>
              </w:rPr>
              <w:t>38</w:t>
            </w:r>
          </w:p>
        </w:tc>
      </w:tr>
      <w:tr w14:paraId="5361EA94">
        <w:tblPrEx>
          <w:tblCellMar>
            <w:top w:w="0" w:type="dxa"/>
            <w:left w:w="108" w:type="dxa"/>
            <w:bottom w:w="0" w:type="dxa"/>
            <w:right w:w="108" w:type="dxa"/>
          </w:tblCellMar>
        </w:tblPrEx>
        <w:trPr>
          <w:trHeight w:val="283" w:hRule="atLeast"/>
          <w:jc w:val="center"/>
        </w:trPr>
        <w:tc>
          <w:tcPr>
            <w:tcW w:w="8284" w:type="dxa"/>
            <w:gridSpan w:val="4"/>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65E67F95">
            <w:pPr>
              <w:widowControl/>
              <w:jc w:val="center"/>
              <w:rPr>
                <w:rFonts w:ascii="方正粗黑宋简体" w:hAnsi="方正粗黑宋简体" w:eastAsia="方正粗黑宋简体"/>
                <w:color w:val="auto"/>
                <w:kern w:val="0"/>
                <w:sz w:val="20"/>
                <w:szCs w:val="20"/>
              </w:rPr>
            </w:pPr>
            <w:r>
              <w:rPr>
                <w:rFonts w:hint="eastAsia" w:ascii="仿宋_GB2312" w:hAnsi="仿宋_GB2312" w:eastAsia="仿宋_GB2312" w:cs="仿宋_GB2312"/>
                <w:color w:val="auto"/>
                <w:kern w:val="0"/>
                <w:sz w:val="20"/>
                <w:szCs w:val="20"/>
              </w:rPr>
              <w:t>第二十条第（六）项</w:t>
            </w:r>
          </w:p>
        </w:tc>
      </w:tr>
      <w:tr w14:paraId="611581FD">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63AE26AD">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vAlign w:val="center"/>
          </w:tcPr>
          <w:p w14:paraId="6ACE7C0B">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本年处理决定数量</w:t>
            </w:r>
          </w:p>
        </w:tc>
      </w:tr>
      <w:tr w14:paraId="05485F6C">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26282A57">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行政处罚</w:t>
            </w:r>
          </w:p>
        </w:tc>
        <w:tc>
          <w:tcPr>
            <w:tcW w:w="5552" w:type="dxa"/>
            <w:gridSpan w:val="3"/>
            <w:tcBorders>
              <w:top w:val="single" w:color="auto" w:sz="4" w:space="0"/>
              <w:left w:val="single" w:color="auto" w:sz="4" w:space="0"/>
              <w:bottom w:val="single" w:color="auto" w:sz="4" w:space="0"/>
              <w:right w:val="single" w:color="auto" w:sz="4" w:space="0"/>
            </w:tcBorders>
            <w:vAlign w:val="center"/>
          </w:tcPr>
          <w:p w14:paraId="6AB051B7">
            <w:pPr>
              <w:widowControl/>
              <w:jc w:val="center"/>
              <w:rPr>
                <w:rFonts w:hint="default" w:ascii="黑体" w:hAnsi="黑体" w:eastAsia="黑体"/>
                <w:color w:val="auto"/>
                <w:kern w:val="0"/>
                <w:sz w:val="20"/>
                <w:szCs w:val="20"/>
                <w:lang w:val="en-US"/>
              </w:rPr>
            </w:pPr>
            <w:r>
              <w:rPr>
                <w:rFonts w:hint="eastAsia" w:ascii="黑体" w:hAnsi="黑体" w:eastAsia="黑体" w:cs="Times New Roman"/>
                <w:color w:val="auto"/>
                <w:sz w:val="22"/>
                <w:lang w:val="en-US" w:eastAsia="zh-CN"/>
              </w:rPr>
              <w:t>1781</w:t>
            </w:r>
          </w:p>
        </w:tc>
      </w:tr>
      <w:tr w14:paraId="33025511">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26C05F4F">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行政强制</w:t>
            </w:r>
          </w:p>
        </w:tc>
        <w:tc>
          <w:tcPr>
            <w:tcW w:w="5552" w:type="dxa"/>
            <w:gridSpan w:val="3"/>
            <w:tcBorders>
              <w:top w:val="single" w:color="auto" w:sz="4" w:space="0"/>
              <w:left w:val="single" w:color="auto" w:sz="4" w:space="0"/>
              <w:bottom w:val="single" w:color="auto" w:sz="4" w:space="0"/>
              <w:right w:val="single" w:color="auto" w:sz="4" w:space="0"/>
            </w:tcBorders>
            <w:vAlign w:val="center"/>
          </w:tcPr>
          <w:p w14:paraId="475D942A">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0</w:t>
            </w:r>
          </w:p>
        </w:tc>
      </w:tr>
      <w:tr w14:paraId="224F1687">
        <w:tblPrEx>
          <w:tblCellMar>
            <w:top w:w="0" w:type="dxa"/>
            <w:left w:w="108" w:type="dxa"/>
            <w:bottom w:w="0" w:type="dxa"/>
            <w:right w:w="108" w:type="dxa"/>
          </w:tblCellMar>
        </w:tblPrEx>
        <w:trPr>
          <w:trHeight w:val="283" w:hRule="atLeast"/>
          <w:jc w:val="center"/>
        </w:trPr>
        <w:tc>
          <w:tcPr>
            <w:tcW w:w="8284" w:type="dxa"/>
            <w:gridSpan w:val="4"/>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46A8DF20">
            <w:pPr>
              <w:widowControl/>
              <w:jc w:val="center"/>
              <w:rPr>
                <w:rFonts w:ascii="方正粗黑宋简体" w:hAnsi="方正粗黑宋简体" w:eastAsia="方正粗黑宋简体"/>
                <w:color w:val="auto"/>
                <w:kern w:val="0"/>
                <w:sz w:val="20"/>
                <w:szCs w:val="20"/>
              </w:rPr>
            </w:pPr>
            <w:r>
              <w:rPr>
                <w:rFonts w:hint="eastAsia" w:ascii="仿宋_GB2312" w:hAnsi="仿宋_GB2312" w:eastAsia="仿宋_GB2312" w:cs="仿宋_GB2312"/>
                <w:color w:val="auto"/>
                <w:kern w:val="0"/>
                <w:sz w:val="20"/>
                <w:szCs w:val="20"/>
              </w:rPr>
              <w:t>第二十条第（八）项</w:t>
            </w:r>
          </w:p>
        </w:tc>
      </w:tr>
      <w:tr w14:paraId="08A064F3">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26772A2F">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vAlign w:val="center"/>
          </w:tcPr>
          <w:p w14:paraId="23255A57">
            <w:pPr>
              <w:widowControl/>
              <w:jc w:val="center"/>
              <w:rPr>
                <w:rFonts w:ascii="黑体" w:hAnsi="黑体" w:eastAsia="黑体"/>
                <w:color w:val="auto"/>
                <w:kern w:val="0"/>
                <w:sz w:val="20"/>
                <w:szCs w:val="20"/>
              </w:rPr>
            </w:pPr>
            <w:r>
              <w:rPr>
                <w:rFonts w:hint="eastAsia" w:ascii="黑体" w:hAnsi="黑体" w:eastAsia="黑体" w:cs="Times New Roman"/>
                <w:color w:val="auto"/>
                <w:kern w:val="0"/>
                <w:sz w:val="20"/>
                <w:szCs w:val="20"/>
              </w:rPr>
              <w:t>本年收费金额（单位：万元）</w:t>
            </w:r>
          </w:p>
        </w:tc>
      </w:tr>
      <w:tr w14:paraId="1F895277">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57831180">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行政事业性收费</w:t>
            </w:r>
          </w:p>
        </w:tc>
        <w:tc>
          <w:tcPr>
            <w:tcW w:w="5552" w:type="dxa"/>
            <w:gridSpan w:val="3"/>
            <w:tcBorders>
              <w:top w:val="single" w:color="auto" w:sz="4" w:space="0"/>
              <w:left w:val="single" w:color="auto" w:sz="4" w:space="0"/>
              <w:bottom w:val="single" w:color="auto" w:sz="4" w:space="0"/>
              <w:right w:val="single" w:color="auto" w:sz="4" w:space="0"/>
            </w:tcBorders>
            <w:vAlign w:val="center"/>
          </w:tcPr>
          <w:p w14:paraId="0FE0C7C0">
            <w:pPr>
              <w:widowControl/>
              <w:jc w:val="center"/>
              <w:rPr>
                <w:rFonts w:hint="default" w:ascii="黑体" w:hAnsi="黑体" w:eastAsia="黑体"/>
                <w:color w:val="auto"/>
                <w:kern w:val="0"/>
                <w:sz w:val="20"/>
                <w:szCs w:val="20"/>
                <w:lang w:val="en-US" w:eastAsia="zh-CN"/>
              </w:rPr>
            </w:pPr>
            <w:r>
              <w:rPr>
                <w:rFonts w:hint="eastAsia" w:ascii="黑体" w:hAnsi="黑体" w:eastAsia="黑体" w:cs="Times New Roman"/>
                <w:color w:val="auto"/>
                <w:kern w:val="0"/>
                <w:sz w:val="20"/>
                <w:szCs w:val="20"/>
                <w:lang w:val="en-US" w:eastAsia="zh-CN"/>
              </w:rPr>
              <w:t>0</w:t>
            </w:r>
          </w:p>
        </w:tc>
      </w:tr>
    </w:tbl>
    <w:p w14:paraId="7C89621D">
      <w:pPr>
        <w:ind w:firstLine="640" w:firstLineChars="200"/>
        <w:rPr>
          <w:rFonts w:hint="eastAsia" w:ascii="黑体" w:hAnsi="黑体" w:eastAsia="黑体"/>
          <w:color w:val="auto"/>
          <w:szCs w:val="32"/>
          <w:highlight w:val="none"/>
          <w:lang w:eastAsia="zh-CN"/>
        </w:rPr>
      </w:pPr>
      <w:r>
        <w:rPr>
          <w:rFonts w:hint="eastAsia" w:ascii="黑体" w:hAnsi="黑体" w:eastAsia="黑体" w:cs="黑体"/>
          <w:color w:val="auto"/>
          <w:sz w:val="32"/>
          <w:szCs w:val="32"/>
          <w:highlight w:val="none"/>
        </w:rPr>
        <w:t>三、收到和处理政府信息公开申请情况</w:t>
      </w:r>
    </w:p>
    <w:tbl>
      <w:tblPr>
        <w:tblStyle w:val="5"/>
        <w:tblW w:w="8300" w:type="dxa"/>
        <w:jc w:val="center"/>
        <w:tblLayout w:type="autofit"/>
        <w:tblCellMar>
          <w:top w:w="0" w:type="dxa"/>
          <w:left w:w="108" w:type="dxa"/>
          <w:bottom w:w="0" w:type="dxa"/>
          <w:right w:w="108" w:type="dxa"/>
        </w:tblCellMar>
      </w:tblPr>
      <w:tblGrid>
        <w:gridCol w:w="656"/>
        <w:gridCol w:w="876"/>
        <w:gridCol w:w="1618"/>
        <w:gridCol w:w="678"/>
        <w:gridCol w:w="844"/>
        <w:gridCol w:w="843"/>
        <w:gridCol w:w="842"/>
        <w:gridCol w:w="843"/>
        <w:gridCol w:w="438"/>
        <w:gridCol w:w="662"/>
      </w:tblGrid>
      <w:tr w14:paraId="7BBD0506">
        <w:tblPrEx>
          <w:tblCellMar>
            <w:top w:w="0" w:type="dxa"/>
            <w:left w:w="108" w:type="dxa"/>
            <w:bottom w:w="0" w:type="dxa"/>
            <w:right w:w="108" w:type="dxa"/>
          </w:tblCellMar>
        </w:tblPrEx>
        <w:trPr>
          <w:trHeight w:val="302" w:hRule="atLeast"/>
          <w:jc w:val="center"/>
        </w:trPr>
        <w:tc>
          <w:tcPr>
            <w:tcW w:w="3150" w:type="dxa"/>
            <w:gridSpan w:val="3"/>
            <w:vMerge w:val="restart"/>
            <w:tcBorders>
              <w:top w:val="single" w:color="auto" w:sz="4" w:space="0"/>
              <w:left w:val="single" w:color="auto" w:sz="4" w:space="0"/>
              <w:bottom w:val="single" w:color="auto" w:sz="4" w:space="0"/>
              <w:right w:val="single" w:color="auto" w:sz="4" w:space="0"/>
            </w:tcBorders>
            <w:vAlign w:val="center"/>
          </w:tcPr>
          <w:p w14:paraId="3AFF37C5">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（本列数据的勾稽关系为：第一项加第二项之和，等于第三项加第四项之和）</w:t>
            </w:r>
          </w:p>
        </w:tc>
        <w:tc>
          <w:tcPr>
            <w:tcW w:w="5150" w:type="dxa"/>
            <w:gridSpan w:val="7"/>
            <w:tcBorders>
              <w:top w:val="single" w:color="auto" w:sz="4" w:space="0"/>
              <w:left w:val="single" w:color="auto" w:sz="4" w:space="0"/>
              <w:bottom w:val="single" w:color="auto" w:sz="4" w:space="0"/>
              <w:right w:val="single" w:color="auto" w:sz="4" w:space="0"/>
            </w:tcBorders>
            <w:vAlign w:val="center"/>
          </w:tcPr>
          <w:p w14:paraId="45C1568F">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申请人情况</w:t>
            </w:r>
          </w:p>
        </w:tc>
      </w:tr>
      <w:tr w14:paraId="1BB06B1A">
        <w:tblPrEx>
          <w:tblCellMar>
            <w:top w:w="0" w:type="dxa"/>
            <w:left w:w="108" w:type="dxa"/>
            <w:bottom w:w="0" w:type="dxa"/>
            <w:right w:w="108" w:type="dxa"/>
          </w:tblCellMar>
        </w:tblPrEx>
        <w:trPr>
          <w:trHeight w:val="287" w:hRule="atLeast"/>
          <w:jc w:val="center"/>
        </w:trPr>
        <w:tc>
          <w:tcPr>
            <w:tcW w:w="3150" w:type="dxa"/>
            <w:gridSpan w:val="3"/>
            <w:vMerge w:val="continue"/>
            <w:tcBorders>
              <w:top w:val="single" w:color="auto" w:sz="4" w:space="0"/>
              <w:left w:val="single" w:color="auto" w:sz="4" w:space="0"/>
              <w:bottom w:val="single" w:color="auto" w:sz="4" w:space="0"/>
              <w:right w:val="single" w:color="auto" w:sz="4" w:space="0"/>
            </w:tcBorders>
            <w:vAlign w:val="center"/>
          </w:tcPr>
          <w:p w14:paraId="6BA023C0">
            <w:pPr>
              <w:widowControl/>
              <w:jc w:val="left"/>
              <w:rPr>
                <w:rFonts w:ascii="黑体" w:hAnsi="黑体" w:eastAsia="黑体"/>
                <w:color w:val="000000"/>
                <w:kern w:val="0"/>
                <w:sz w:val="20"/>
                <w:szCs w:val="20"/>
              </w:rPr>
            </w:pPr>
          </w:p>
        </w:tc>
        <w:tc>
          <w:tcPr>
            <w:tcW w:w="678" w:type="dxa"/>
            <w:vMerge w:val="restart"/>
            <w:tcBorders>
              <w:top w:val="single" w:color="auto" w:sz="4" w:space="0"/>
              <w:left w:val="single" w:color="auto" w:sz="4" w:space="0"/>
              <w:bottom w:val="single" w:color="auto" w:sz="4" w:space="0"/>
              <w:right w:val="single" w:color="auto" w:sz="4" w:space="0"/>
            </w:tcBorders>
            <w:vAlign w:val="center"/>
          </w:tcPr>
          <w:p w14:paraId="73B27EB8">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自然人</w:t>
            </w:r>
          </w:p>
        </w:tc>
        <w:tc>
          <w:tcPr>
            <w:tcW w:w="3810" w:type="dxa"/>
            <w:gridSpan w:val="5"/>
            <w:tcBorders>
              <w:top w:val="single" w:color="auto" w:sz="4" w:space="0"/>
              <w:left w:val="single" w:color="auto" w:sz="4" w:space="0"/>
              <w:bottom w:val="single" w:color="auto" w:sz="4" w:space="0"/>
              <w:right w:val="single" w:color="auto" w:sz="4" w:space="0"/>
            </w:tcBorders>
            <w:vAlign w:val="center"/>
          </w:tcPr>
          <w:p w14:paraId="0BB9F8A3">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法人或其他组织</w:t>
            </w:r>
          </w:p>
        </w:tc>
        <w:tc>
          <w:tcPr>
            <w:tcW w:w="662" w:type="dxa"/>
            <w:vMerge w:val="restart"/>
            <w:tcBorders>
              <w:top w:val="single" w:color="auto" w:sz="4" w:space="0"/>
              <w:left w:val="single" w:color="auto" w:sz="4" w:space="0"/>
              <w:bottom w:val="single" w:color="auto" w:sz="4" w:space="0"/>
              <w:right w:val="single" w:color="auto" w:sz="4" w:space="0"/>
            </w:tcBorders>
            <w:vAlign w:val="center"/>
          </w:tcPr>
          <w:p w14:paraId="77C358C4">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总计</w:t>
            </w:r>
          </w:p>
        </w:tc>
      </w:tr>
      <w:tr w14:paraId="61FF1612">
        <w:tblPrEx>
          <w:tblCellMar>
            <w:top w:w="0" w:type="dxa"/>
            <w:left w:w="108" w:type="dxa"/>
            <w:bottom w:w="0" w:type="dxa"/>
            <w:right w:w="108" w:type="dxa"/>
          </w:tblCellMar>
        </w:tblPrEx>
        <w:trPr>
          <w:trHeight w:val="544" w:hRule="atLeast"/>
          <w:jc w:val="center"/>
        </w:trPr>
        <w:tc>
          <w:tcPr>
            <w:tcW w:w="3150" w:type="dxa"/>
            <w:gridSpan w:val="3"/>
            <w:vMerge w:val="continue"/>
            <w:tcBorders>
              <w:top w:val="single" w:color="auto" w:sz="4" w:space="0"/>
              <w:left w:val="single" w:color="auto" w:sz="4" w:space="0"/>
              <w:bottom w:val="single" w:color="auto" w:sz="4" w:space="0"/>
              <w:right w:val="single" w:color="auto" w:sz="4" w:space="0"/>
            </w:tcBorders>
            <w:vAlign w:val="center"/>
          </w:tcPr>
          <w:p w14:paraId="2AEDD2CC">
            <w:pPr>
              <w:widowControl/>
              <w:jc w:val="left"/>
              <w:rPr>
                <w:rFonts w:ascii="黑体" w:hAnsi="黑体" w:eastAsia="黑体"/>
                <w:color w:val="000000"/>
                <w:kern w:val="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14:paraId="0C22BB96">
            <w:pPr>
              <w:widowControl/>
              <w:jc w:val="left"/>
              <w:rPr>
                <w:rFonts w:ascii="黑体" w:hAnsi="黑体" w:eastAsia="黑体"/>
                <w:color w:val="000000"/>
                <w:kern w:val="0"/>
                <w:sz w:val="20"/>
                <w:szCs w:val="20"/>
              </w:rPr>
            </w:pPr>
          </w:p>
        </w:tc>
        <w:tc>
          <w:tcPr>
            <w:tcW w:w="844" w:type="dxa"/>
            <w:tcBorders>
              <w:top w:val="single" w:color="auto" w:sz="4" w:space="0"/>
              <w:left w:val="single" w:color="auto" w:sz="4" w:space="0"/>
              <w:bottom w:val="single" w:color="auto" w:sz="4" w:space="0"/>
              <w:right w:val="single" w:color="auto" w:sz="4" w:space="0"/>
            </w:tcBorders>
            <w:vAlign w:val="center"/>
          </w:tcPr>
          <w:p w14:paraId="7CF3A5E8">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商业企业</w:t>
            </w:r>
          </w:p>
        </w:tc>
        <w:tc>
          <w:tcPr>
            <w:tcW w:w="843" w:type="dxa"/>
            <w:tcBorders>
              <w:top w:val="single" w:color="auto" w:sz="4" w:space="0"/>
              <w:left w:val="single" w:color="auto" w:sz="4" w:space="0"/>
              <w:bottom w:val="single" w:color="auto" w:sz="4" w:space="0"/>
              <w:right w:val="single" w:color="auto" w:sz="4" w:space="0"/>
            </w:tcBorders>
            <w:vAlign w:val="center"/>
          </w:tcPr>
          <w:p w14:paraId="3C03AFCE">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科研机构</w:t>
            </w:r>
          </w:p>
        </w:tc>
        <w:tc>
          <w:tcPr>
            <w:tcW w:w="842" w:type="dxa"/>
            <w:tcBorders>
              <w:top w:val="single" w:color="auto" w:sz="4" w:space="0"/>
              <w:left w:val="single" w:color="auto" w:sz="4" w:space="0"/>
              <w:bottom w:val="single" w:color="auto" w:sz="4" w:space="0"/>
              <w:right w:val="single" w:color="auto" w:sz="4" w:space="0"/>
            </w:tcBorders>
            <w:vAlign w:val="center"/>
          </w:tcPr>
          <w:p w14:paraId="49256F30">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社会公益组织</w:t>
            </w:r>
          </w:p>
        </w:tc>
        <w:tc>
          <w:tcPr>
            <w:tcW w:w="843" w:type="dxa"/>
            <w:tcBorders>
              <w:top w:val="single" w:color="auto" w:sz="4" w:space="0"/>
              <w:left w:val="single" w:color="auto" w:sz="4" w:space="0"/>
              <w:bottom w:val="single" w:color="auto" w:sz="4" w:space="0"/>
              <w:right w:val="single" w:color="auto" w:sz="4" w:space="0"/>
            </w:tcBorders>
            <w:vAlign w:val="center"/>
          </w:tcPr>
          <w:p w14:paraId="38B5C7D7">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法律服务机构</w:t>
            </w:r>
          </w:p>
        </w:tc>
        <w:tc>
          <w:tcPr>
            <w:tcW w:w="438" w:type="dxa"/>
            <w:tcBorders>
              <w:top w:val="single" w:color="auto" w:sz="4" w:space="0"/>
              <w:left w:val="single" w:color="auto" w:sz="4" w:space="0"/>
              <w:bottom w:val="single" w:color="auto" w:sz="4" w:space="0"/>
              <w:right w:val="single" w:color="auto" w:sz="4" w:space="0"/>
            </w:tcBorders>
            <w:vAlign w:val="center"/>
          </w:tcPr>
          <w:p w14:paraId="2E4D8105">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其他</w:t>
            </w:r>
          </w:p>
        </w:tc>
        <w:tc>
          <w:tcPr>
            <w:tcW w:w="662" w:type="dxa"/>
            <w:vMerge w:val="continue"/>
            <w:tcBorders>
              <w:top w:val="single" w:color="auto" w:sz="4" w:space="0"/>
              <w:left w:val="single" w:color="auto" w:sz="4" w:space="0"/>
              <w:bottom w:val="single" w:color="auto" w:sz="4" w:space="0"/>
              <w:right w:val="single" w:color="auto" w:sz="4" w:space="0"/>
            </w:tcBorders>
            <w:vAlign w:val="center"/>
          </w:tcPr>
          <w:p w14:paraId="4C08E5BB">
            <w:pPr>
              <w:widowControl/>
              <w:jc w:val="left"/>
              <w:rPr>
                <w:rFonts w:ascii="黑体" w:hAnsi="黑体" w:eastAsia="黑体"/>
                <w:color w:val="000000"/>
                <w:kern w:val="0"/>
                <w:sz w:val="20"/>
                <w:szCs w:val="20"/>
              </w:rPr>
            </w:pPr>
          </w:p>
        </w:tc>
      </w:tr>
      <w:tr w14:paraId="0CEFD4C1">
        <w:tblPrEx>
          <w:tblCellMar>
            <w:top w:w="0" w:type="dxa"/>
            <w:left w:w="108" w:type="dxa"/>
            <w:bottom w:w="0" w:type="dxa"/>
            <w:right w:w="108" w:type="dxa"/>
          </w:tblCellMar>
        </w:tblPrEx>
        <w:trPr>
          <w:trHeight w:val="287" w:hRule="atLeast"/>
          <w:jc w:val="center"/>
        </w:trPr>
        <w:tc>
          <w:tcPr>
            <w:tcW w:w="3150" w:type="dxa"/>
            <w:gridSpan w:val="3"/>
            <w:tcBorders>
              <w:top w:val="single" w:color="auto" w:sz="4" w:space="0"/>
              <w:left w:val="single" w:color="auto" w:sz="4" w:space="0"/>
              <w:bottom w:val="single" w:color="auto" w:sz="4" w:space="0"/>
              <w:right w:val="single" w:color="auto" w:sz="4" w:space="0"/>
            </w:tcBorders>
            <w:vAlign w:val="center"/>
          </w:tcPr>
          <w:p w14:paraId="3BEA380A">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一、本年新收政府信息公开申请数量</w:t>
            </w:r>
          </w:p>
        </w:tc>
        <w:tc>
          <w:tcPr>
            <w:tcW w:w="678" w:type="dxa"/>
            <w:tcBorders>
              <w:top w:val="single" w:color="auto" w:sz="4" w:space="0"/>
              <w:left w:val="single" w:color="auto" w:sz="4" w:space="0"/>
              <w:bottom w:val="single" w:color="auto" w:sz="4" w:space="0"/>
              <w:right w:val="single" w:color="auto" w:sz="4" w:space="0"/>
            </w:tcBorders>
            <w:vAlign w:val="center"/>
          </w:tcPr>
          <w:p w14:paraId="0347A884">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3</w:t>
            </w:r>
          </w:p>
        </w:tc>
        <w:tc>
          <w:tcPr>
            <w:tcW w:w="844" w:type="dxa"/>
            <w:tcBorders>
              <w:top w:val="single" w:color="auto" w:sz="4" w:space="0"/>
              <w:left w:val="single" w:color="auto" w:sz="4" w:space="0"/>
              <w:bottom w:val="single" w:color="auto" w:sz="4" w:space="0"/>
              <w:right w:val="single" w:color="auto" w:sz="4" w:space="0"/>
            </w:tcBorders>
            <w:vAlign w:val="center"/>
          </w:tcPr>
          <w:p w14:paraId="0C859672">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023A3AE9">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6978227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752E6B2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637750D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370DE2FA">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3</w:t>
            </w:r>
          </w:p>
        </w:tc>
      </w:tr>
      <w:tr w14:paraId="589992E2">
        <w:tblPrEx>
          <w:tblCellMar>
            <w:top w:w="0" w:type="dxa"/>
            <w:left w:w="108" w:type="dxa"/>
            <w:bottom w:w="0" w:type="dxa"/>
            <w:right w:w="108" w:type="dxa"/>
          </w:tblCellMar>
        </w:tblPrEx>
        <w:trPr>
          <w:trHeight w:val="287" w:hRule="atLeast"/>
          <w:jc w:val="center"/>
        </w:trPr>
        <w:tc>
          <w:tcPr>
            <w:tcW w:w="3150" w:type="dxa"/>
            <w:gridSpan w:val="3"/>
            <w:tcBorders>
              <w:top w:val="single" w:color="auto" w:sz="4" w:space="0"/>
              <w:left w:val="single" w:color="auto" w:sz="4" w:space="0"/>
              <w:bottom w:val="single" w:color="auto" w:sz="4" w:space="0"/>
              <w:right w:val="single" w:color="auto" w:sz="4" w:space="0"/>
            </w:tcBorders>
            <w:vAlign w:val="center"/>
          </w:tcPr>
          <w:p w14:paraId="57E30EB2">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二、上年结转政府信息公开申请数量</w:t>
            </w:r>
          </w:p>
        </w:tc>
        <w:tc>
          <w:tcPr>
            <w:tcW w:w="678" w:type="dxa"/>
            <w:tcBorders>
              <w:top w:val="single" w:color="auto" w:sz="4" w:space="0"/>
              <w:left w:val="single" w:color="auto" w:sz="4" w:space="0"/>
              <w:bottom w:val="single" w:color="auto" w:sz="4" w:space="0"/>
              <w:right w:val="single" w:color="auto" w:sz="4" w:space="0"/>
            </w:tcBorders>
            <w:vAlign w:val="center"/>
          </w:tcPr>
          <w:p w14:paraId="3970676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297A882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6677295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703CE2B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11266B1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5D49470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7EDC992A">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73EC5A2C">
        <w:tblPrEx>
          <w:tblCellMar>
            <w:top w:w="0" w:type="dxa"/>
            <w:left w:w="108" w:type="dxa"/>
            <w:bottom w:w="0" w:type="dxa"/>
            <w:right w:w="108" w:type="dxa"/>
          </w:tblCellMar>
        </w:tblPrEx>
        <w:trPr>
          <w:trHeight w:val="549" w:hRule="atLeast"/>
          <w:jc w:val="center"/>
        </w:trPr>
        <w:tc>
          <w:tcPr>
            <w:tcW w:w="656" w:type="dxa"/>
            <w:vMerge w:val="restart"/>
            <w:tcBorders>
              <w:top w:val="single" w:color="auto" w:sz="4" w:space="0"/>
              <w:left w:val="single" w:color="auto" w:sz="4" w:space="0"/>
              <w:bottom w:val="single" w:color="auto" w:sz="4" w:space="0"/>
              <w:right w:val="single" w:color="auto" w:sz="4" w:space="0"/>
            </w:tcBorders>
          </w:tcPr>
          <w:p w14:paraId="04F2038F">
            <w:pPr>
              <w:widowControl/>
              <w:jc w:val="center"/>
              <w:rPr>
                <w:rFonts w:ascii="黑体" w:hAnsi="黑体" w:eastAsia="黑体" w:cs="黑体"/>
                <w:color w:val="000000"/>
                <w:kern w:val="0"/>
                <w:sz w:val="20"/>
                <w:szCs w:val="20"/>
              </w:rPr>
            </w:pPr>
          </w:p>
          <w:p w14:paraId="321E3EB5">
            <w:pPr>
              <w:widowControl/>
              <w:jc w:val="center"/>
              <w:rPr>
                <w:rFonts w:ascii="黑体" w:hAnsi="黑体" w:eastAsia="黑体" w:cs="黑体"/>
                <w:color w:val="000000"/>
                <w:kern w:val="0"/>
                <w:sz w:val="20"/>
                <w:szCs w:val="20"/>
              </w:rPr>
            </w:pPr>
          </w:p>
          <w:p w14:paraId="7AA47C3C">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三、本年度办理结果</w:t>
            </w:r>
          </w:p>
        </w:tc>
        <w:tc>
          <w:tcPr>
            <w:tcW w:w="2494" w:type="dxa"/>
            <w:gridSpan w:val="2"/>
            <w:tcBorders>
              <w:top w:val="single" w:color="auto" w:sz="4" w:space="0"/>
              <w:left w:val="single" w:color="auto" w:sz="4" w:space="0"/>
              <w:bottom w:val="single" w:color="auto" w:sz="4" w:space="0"/>
              <w:right w:val="single" w:color="auto" w:sz="4" w:space="0"/>
            </w:tcBorders>
            <w:vAlign w:val="center"/>
          </w:tcPr>
          <w:p w14:paraId="2168F266">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一、予以公开</w:t>
            </w:r>
          </w:p>
        </w:tc>
        <w:tc>
          <w:tcPr>
            <w:tcW w:w="678" w:type="dxa"/>
            <w:tcBorders>
              <w:top w:val="single" w:color="auto" w:sz="4" w:space="0"/>
              <w:left w:val="single" w:color="auto" w:sz="4" w:space="0"/>
              <w:bottom w:val="single" w:color="auto" w:sz="4" w:space="0"/>
              <w:right w:val="single" w:color="auto" w:sz="4" w:space="0"/>
            </w:tcBorders>
            <w:vAlign w:val="center"/>
          </w:tcPr>
          <w:p w14:paraId="40B8720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3B24B1B8">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6365930A">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0DC37FD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27EFD0F9">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2B51166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2BEAF03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16BFF949">
        <w:tblPrEx>
          <w:tblCellMar>
            <w:top w:w="0" w:type="dxa"/>
            <w:left w:w="108" w:type="dxa"/>
            <w:bottom w:w="0" w:type="dxa"/>
            <w:right w:w="108" w:type="dxa"/>
          </w:tblCellMar>
        </w:tblPrEx>
        <w:trPr>
          <w:trHeight w:val="953"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2EBB8FF0">
            <w:pPr>
              <w:widowControl/>
              <w:jc w:val="left"/>
              <w:rPr>
                <w:rFonts w:ascii="黑体" w:hAnsi="黑体" w:eastAsia="黑体"/>
                <w:color w:val="000000"/>
                <w:kern w:val="0"/>
                <w:sz w:val="20"/>
                <w:szCs w:val="20"/>
              </w:rPr>
            </w:pPr>
          </w:p>
        </w:tc>
        <w:tc>
          <w:tcPr>
            <w:tcW w:w="2494" w:type="dxa"/>
            <w:gridSpan w:val="2"/>
            <w:tcBorders>
              <w:top w:val="single" w:color="auto" w:sz="4" w:space="0"/>
              <w:left w:val="single" w:color="auto" w:sz="4" w:space="0"/>
              <w:bottom w:val="single" w:color="auto" w:sz="4" w:space="0"/>
              <w:right w:val="single" w:color="auto" w:sz="4" w:space="0"/>
            </w:tcBorders>
            <w:vAlign w:val="center"/>
          </w:tcPr>
          <w:p w14:paraId="09AFA38F">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二、部分公开（区分处理的，只计这一情形，不计其他情形）</w:t>
            </w:r>
          </w:p>
        </w:tc>
        <w:tc>
          <w:tcPr>
            <w:tcW w:w="678" w:type="dxa"/>
            <w:tcBorders>
              <w:top w:val="single" w:color="auto" w:sz="4" w:space="0"/>
              <w:left w:val="single" w:color="auto" w:sz="4" w:space="0"/>
              <w:bottom w:val="single" w:color="auto" w:sz="4" w:space="0"/>
              <w:right w:val="single" w:color="auto" w:sz="4" w:space="0"/>
            </w:tcBorders>
            <w:vAlign w:val="center"/>
          </w:tcPr>
          <w:p w14:paraId="4D49177D">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14:paraId="0B4ABB7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00DD5E7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3C3B2C1E">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6194ABA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6D94CEB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424534EC">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r>
      <w:tr w14:paraId="6E2ECAE4">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4B8ABEF9">
            <w:pPr>
              <w:widowControl/>
              <w:jc w:val="left"/>
              <w:rPr>
                <w:rFonts w:ascii="黑体" w:hAnsi="黑体" w:eastAsia="黑体"/>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vAlign w:val="center"/>
          </w:tcPr>
          <w:p w14:paraId="097D69F5">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（三）不予公开</w:t>
            </w:r>
          </w:p>
        </w:tc>
        <w:tc>
          <w:tcPr>
            <w:tcW w:w="1618" w:type="dxa"/>
            <w:tcBorders>
              <w:top w:val="single" w:color="auto" w:sz="4" w:space="0"/>
              <w:left w:val="single" w:color="auto" w:sz="4" w:space="0"/>
              <w:bottom w:val="single" w:color="auto" w:sz="4" w:space="0"/>
              <w:right w:val="single" w:color="auto" w:sz="4" w:space="0"/>
            </w:tcBorders>
            <w:vAlign w:val="center"/>
          </w:tcPr>
          <w:p w14:paraId="75C70740">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属于国家秘密</w:t>
            </w:r>
          </w:p>
        </w:tc>
        <w:tc>
          <w:tcPr>
            <w:tcW w:w="678" w:type="dxa"/>
            <w:tcBorders>
              <w:top w:val="single" w:color="auto" w:sz="4" w:space="0"/>
              <w:left w:val="single" w:color="auto" w:sz="4" w:space="0"/>
              <w:bottom w:val="single" w:color="auto" w:sz="4" w:space="0"/>
              <w:right w:val="single" w:color="auto" w:sz="4" w:space="0"/>
            </w:tcBorders>
            <w:vAlign w:val="center"/>
          </w:tcPr>
          <w:p w14:paraId="0FDAE9B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294157B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1EB6A87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7E624FF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0D4400F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723DA02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0D3A60F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1530D4AE">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4C684DF1">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78A70593">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4F4C2479">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其他法律行政法规禁止公开</w:t>
            </w:r>
          </w:p>
        </w:tc>
        <w:tc>
          <w:tcPr>
            <w:tcW w:w="678" w:type="dxa"/>
            <w:tcBorders>
              <w:top w:val="single" w:color="auto" w:sz="4" w:space="0"/>
              <w:left w:val="single" w:color="auto" w:sz="4" w:space="0"/>
              <w:bottom w:val="single" w:color="auto" w:sz="4" w:space="0"/>
              <w:right w:val="single" w:color="auto" w:sz="4" w:space="0"/>
            </w:tcBorders>
            <w:vAlign w:val="center"/>
          </w:tcPr>
          <w:p w14:paraId="14F9092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191B8D2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4105EE0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6D29CBC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265813D9">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6F78424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300FBBB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76B05905">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6EA840F3">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02AE3B45">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41DBE8E5">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危及“三安全一稳定”</w:t>
            </w:r>
          </w:p>
        </w:tc>
        <w:tc>
          <w:tcPr>
            <w:tcW w:w="678" w:type="dxa"/>
            <w:tcBorders>
              <w:top w:val="single" w:color="auto" w:sz="4" w:space="0"/>
              <w:left w:val="single" w:color="auto" w:sz="4" w:space="0"/>
              <w:bottom w:val="single" w:color="auto" w:sz="4" w:space="0"/>
              <w:right w:val="single" w:color="auto" w:sz="4" w:space="0"/>
            </w:tcBorders>
            <w:vAlign w:val="center"/>
          </w:tcPr>
          <w:p w14:paraId="033B01A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7634C96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5E04A9B2">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18A01D4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546C545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305C299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6FA3718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436BAF38">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0BA8EAA2">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343CE43C">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42759094">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4.</w:t>
            </w:r>
            <w:r>
              <w:rPr>
                <w:rFonts w:hint="eastAsia" w:ascii="黑体" w:hAnsi="黑体" w:eastAsia="黑体" w:cs="黑体"/>
                <w:color w:val="000000"/>
                <w:kern w:val="0"/>
                <w:sz w:val="20"/>
                <w:szCs w:val="20"/>
              </w:rPr>
              <w:t>保护第三方合法权益</w:t>
            </w:r>
          </w:p>
        </w:tc>
        <w:tc>
          <w:tcPr>
            <w:tcW w:w="678" w:type="dxa"/>
            <w:tcBorders>
              <w:top w:val="single" w:color="auto" w:sz="4" w:space="0"/>
              <w:left w:val="single" w:color="auto" w:sz="4" w:space="0"/>
              <w:bottom w:val="single" w:color="auto" w:sz="4" w:space="0"/>
              <w:right w:val="single" w:color="auto" w:sz="4" w:space="0"/>
            </w:tcBorders>
            <w:vAlign w:val="center"/>
          </w:tcPr>
          <w:p w14:paraId="16B895E7">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14:paraId="3C91196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2A57752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3477E32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76E52DB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141D9D59">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167CA62A">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r>
      <w:tr w14:paraId="35E28C2C">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62C0C75A">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6FDA92D4">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5E9AB7D3">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5.</w:t>
            </w:r>
            <w:r>
              <w:rPr>
                <w:rFonts w:hint="eastAsia" w:ascii="黑体" w:hAnsi="黑体" w:eastAsia="黑体" w:cs="黑体"/>
                <w:color w:val="000000"/>
                <w:kern w:val="0"/>
                <w:sz w:val="20"/>
                <w:szCs w:val="20"/>
              </w:rPr>
              <w:t>属于三类内部事务信息</w:t>
            </w:r>
          </w:p>
        </w:tc>
        <w:tc>
          <w:tcPr>
            <w:tcW w:w="678" w:type="dxa"/>
            <w:tcBorders>
              <w:top w:val="single" w:color="auto" w:sz="4" w:space="0"/>
              <w:left w:val="single" w:color="auto" w:sz="4" w:space="0"/>
              <w:bottom w:val="single" w:color="auto" w:sz="4" w:space="0"/>
              <w:right w:val="single" w:color="auto" w:sz="4" w:space="0"/>
            </w:tcBorders>
            <w:vAlign w:val="center"/>
          </w:tcPr>
          <w:p w14:paraId="44C89E2E">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5CAD57FA">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329BEE9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504B339E">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101B689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363B137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4571A03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66692B3E">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71B6C24D">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66F8181F">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697A2F10">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6.</w:t>
            </w:r>
            <w:r>
              <w:rPr>
                <w:rFonts w:hint="eastAsia" w:ascii="黑体" w:hAnsi="黑体" w:eastAsia="黑体" w:cs="黑体"/>
                <w:color w:val="000000"/>
                <w:kern w:val="0"/>
                <w:sz w:val="20"/>
                <w:szCs w:val="20"/>
              </w:rPr>
              <w:t>属于四类过程信息</w:t>
            </w:r>
          </w:p>
        </w:tc>
        <w:tc>
          <w:tcPr>
            <w:tcW w:w="678" w:type="dxa"/>
            <w:tcBorders>
              <w:top w:val="single" w:color="auto" w:sz="4" w:space="0"/>
              <w:left w:val="single" w:color="auto" w:sz="4" w:space="0"/>
              <w:bottom w:val="single" w:color="auto" w:sz="4" w:space="0"/>
              <w:right w:val="single" w:color="auto" w:sz="4" w:space="0"/>
            </w:tcBorders>
            <w:vAlign w:val="center"/>
          </w:tcPr>
          <w:p w14:paraId="7B1B6AB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52C40EB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599D0788">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08E8481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4FBC87A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60B7FA9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5E252EA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257FA460">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6CA3DED5">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5CE1CAA4">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5987813F">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7.</w:t>
            </w:r>
            <w:r>
              <w:rPr>
                <w:rFonts w:hint="eastAsia" w:ascii="黑体" w:hAnsi="黑体" w:eastAsia="黑体" w:cs="黑体"/>
                <w:color w:val="000000"/>
                <w:kern w:val="0"/>
                <w:sz w:val="20"/>
                <w:szCs w:val="20"/>
              </w:rPr>
              <w:t>属于行政执法案卷</w:t>
            </w:r>
          </w:p>
        </w:tc>
        <w:tc>
          <w:tcPr>
            <w:tcW w:w="678" w:type="dxa"/>
            <w:tcBorders>
              <w:top w:val="single" w:color="auto" w:sz="4" w:space="0"/>
              <w:left w:val="single" w:color="auto" w:sz="4" w:space="0"/>
              <w:bottom w:val="single" w:color="auto" w:sz="4" w:space="0"/>
              <w:right w:val="single" w:color="auto" w:sz="4" w:space="0"/>
            </w:tcBorders>
            <w:vAlign w:val="center"/>
          </w:tcPr>
          <w:p w14:paraId="7ACD3E1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52864AE8">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72B1038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0AA8B07E">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72AF2089">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016A8C8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6CE116A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6F91ABD6">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7D4D033A">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5E4FCF5C">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4C1B17DB">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8.</w:t>
            </w:r>
            <w:r>
              <w:rPr>
                <w:rFonts w:hint="eastAsia" w:ascii="黑体" w:hAnsi="黑体" w:eastAsia="黑体" w:cs="黑体"/>
                <w:color w:val="000000"/>
                <w:kern w:val="0"/>
                <w:sz w:val="20"/>
                <w:szCs w:val="20"/>
              </w:rPr>
              <w:t>属于行政查询事项</w:t>
            </w:r>
          </w:p>
        </w:tc>
        <w:tc>
          <w:tcPr>
            <w:tcW w:w="678" w:type="dxa"/>
            <w:tcBorders>
              <w:top w:val="single" w:color="auto" w:sz="4" w:space="0"/>
              <w:left w:val="single" w:color="auto" w:sz="4" w:space="0"/>
              <w:bottom w:val="single" w:color="auto" w:sz="4" w:space="0"/>
              <w:right w:val="single" w:color="auto" w:sz="4" w:space="0"/>
            </w:tcBorders>
            <w:vAlign w:val="center"/>
          </w:tcPr>
          <w:p w14:paraId="24717A9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6B72592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418F30A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40021CFE">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0B656DD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2841CB1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5119A212">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15962679">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612D8DC6">
            <w:pPr>
              <w:widowControl/>
              <w:jc w:val="left"/>
              <w:rPr>
                <w:rFonts w:ascii="黑体" w:hAnsi="黑体" w:eastAsia="黑体"/>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vAlign w:val="center"/>
          </w:tcPr>
          <w:p w14:paraId="310A0AD9">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（四）无法提供</w:t>
            </w:r>
          </w:p>
        </w:tc>
        <w:tc>
          <w:tcPr>
            <w:tcW w:w="1618" w:type="dxa"/>
            <w:tcBorders>
              <w:top w:val="single" w:color="auto" w:sz="4" w:space="0"/>
              <w:left w:val="single" w:color="auto" w:sz="4" w:space="0"/>
              <w:bottom w:val="single" w:color="auto" w:sz="4" w:space="0"/>
              <w:right w:val="single" w:color="auto" w:sz="4" w:space="0"/>
            </w:tcBorders>
            <w:vAlign w:val="center"/>
          </w:tcPr>
          <w:p w14:paraId="2ABF6597">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本机关不掌握相关政府信息</w:t>
            </w:r>
          </w:p>
        </w:tc>
        <w:tc>
          <w:tcPr>
            <w:tcW w:w="678" w:type="dxa"/>
            <w:tcBorders>
              <w:top w:val="single" w:color="auto" w:sz="4" w:space="0"/>
              <w:left w:val="single" w:color="auto" w:sz="4" w:space="0"/>
              <w:bottom w:val="single" w:color="auto" w:sz="4" w:space="0"/>
              <w:right w:val="single" w:color="auto" w:sz="4" w:space="0"/>
            </w:tcBorders>
            <w:vAlign w:val="center"/>
          </w:tcPr>
          <w:p w14:paraId="00BE945C">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14:paraId="2C91EDF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4B88077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7A935DD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472954CE">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01600E7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320D3FE1">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r>
      <w:tr w14:paraId="32B97830">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0DCE8247">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0C00FE3E">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39486ACF">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没有现成信息需要另外制作</w:t>
            </w:r>
          </w:p>
        </w:tc>
        <w:tc>
          <w:tcPr>
            <w:tcW w:w="678" w:type="dxa"/>
            <w:tcBorders>
              <w:top w:val="single" w:color="auto" w:sz="4" w:space="0"/>
              <w:left w:val="single" w:color="auto" w:sz="4" w:space="0"/>
              <w:bottom w:val="single" w:color="auto" w:sz="4" w:space="0"/>
              <w:right w:val="single" w:color="auto" w:sz="4" w:space="0"/>
            </w:tcBorders>
            <w:vAlign w:val="center"/>
          </w:tcPr>
          <w:p w14:paraId="4B3A038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2573A42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5D3622B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12C046B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3E7A735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6A66E66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2A55019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249AF1EF">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71120127">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732CB070">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7DC08617">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补正后申请内容仍不明确</w:t>
            </w:r>
          </w:p>
        </w:tc>
        <w:tc>
          <w:tcPr>
            <w:tcW w:w="678" w:type="dxa"/>
            <w:tcBorders>
              <w:top w:val="single" w:color="auto" w:sz="4" w:space="0"/>
              <w:left w:val="single" w:color="auto" w:sz="4" w:space="0"/>
              <w:bottom w:val="single" w:color="auto" w:sz="4" w:space="0"/>
              <w:right w:val="single" w:color="auto" w:sz="4" w:space="0"/>
            </w:tcBorders>
            <w:vAlign w:val="center"/>
          </w:tcPr>
          <w:p w14:paraId="6AC8DE5E">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5340B2B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59F72CF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4A2150F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11C85E8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755D0A8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418BF07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18432FCB">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7FE35C3F">
            <w:pPr>
              <w:widowControl/>
              <w:jc w:val="left"/>
              <w:rPr>
                <w:rFonts w:ascii="黑体" w:hAnsi="黑体" w:eastAsia="黑体"/>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vAlign w:val="center"/>
          </w:tcPr>
          <w:p w14:paraId="2E388D6C">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（五）不予处理</w:t>
            </w:r>
          </w:p>
        </w:tc>
        <w:tc>
          <w:tcPr>
            <w:tcW w:w="1618" w:type="dxa"/>
            <w:tcBorders>
              <w:top w:val="single" w:color="auto" w:sz="4" w:space="0"/>
              <w:left w:val="single" w:color="auto" w:sz="4" w:space="0"/>
              <w:bottom w:val="single" w:color="auto" w:sz="4" w:space="0"/>
              <w:right w:val="single" w:color="auto" w:sz="4" w:space="0"/>
            </w:tcBorders>
            <w:vAlign w:val="center"/>
          </w:tcPr>
          <w:p w14:paraId="6C3065E8">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信访举报投诉类申请</w:t>
            </w:r>
          </w:p>
        </w:tc>
        <w:tc>
          <w:tcPr>
            <w:tcW w:w="678" w:type="dxa"/>
            <w:tcBorders>
              <w:top w:val="single" w:color="auto" w:sz="4" w:space="0"/>
              <w:left w:val="single" w:color="auto" w:sz="4" w:space="0"/>
              <w:bottom w:val="single" w:color="auto" w:sz="4" w:space="0"/>
              <w:right w:val="single" w:color="auto" w:sz="4" w:space="0"/>
            </w:tcBorders>
            <w:vAlign w:val="center"/>
          </w:tcPr>
          <w:p w14:paraId="532BAF59">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0B7D023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339A06D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0E1EE2E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69C9540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2840971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4BFEB52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1787C463">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0D805534">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5FFEAAFC">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64FCD397">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重复申请</w:t>
            </w:r>
          </w:p>
        </w:tc>
        <w:tc>
          <w:tcPr>
            <w:tcW w:w="678" w:type="dxa"/>
            <w:tcBorders>
              <w:top w:val="single" w:color="auto" w:sz="4" w:space="0"/>
              <w:left w:val="single" w:color="auto" w:sz="4" w:space="0"/>
              <w:bottom w:val="single" w:color="auto" w:sz="4" w:space="0"/>
              <w:right w:val="single" w:color="auto" w:sz="4" w:space="0"/>
            </w:tcBorders>
            <w:vAlign w:val="center"/>
          </w:tcPr>
          <w:p w14:paraId="56A8F50E">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45F90FB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383D462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39B7F6C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61A20432">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257A227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550B7511">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73F74123">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057F8DA1">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180D756A">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7F9E6588">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要求提供公开出版物</w:t>
            </w:r>
          </w:p>
        </w:tc>
        <w:tc>
          <w:tcPr>
            <w:tcW w:w="678" w:type="dxa"/>
            <w:tcBorders>
              <w:top w:val="single" w:color="auto" w:sz="4" w:space="0"/>
              <w:left w:val="single" w:color="auto" w:sz="4" w:space="0"/>
              <w:bottom w:val="single" w:color="auto" w:sz="4" w:space="0"/>
              <w:right w:val="single" w:color="auto" w:sz="4" w:space="0"/>
            </w:tcBorders>
            <w:vAlign w:val="center"/>
          </w:tcPr>
          <w:p w14:paraId="4145BDA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55E0442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5172647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2CCF2EB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266723B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61DD4EE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5830725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2D9E0E8D">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7A7A2FF7">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052EB5A3">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5E462C57">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4.</w:t>
            </w:r>
            <w:r>
              <w:rPr>
                <w:rFonts w:hint="eastAsia" w:ascii="黑体" w:hAnsi="黑体" w:eastAsia="黑体" w:cs="黑体"/>
                <w:color w:val="000000"/>
                <w:kern w:val="0"/>
                <w:sz w:val="20"/>
                <w:szCs w:val="20"/>
              </w:rPr>
              <w:t>无正当理由大量反复申请</w:t>
            </w:r>
          </w:p>
        </w:tc>
        <w:tc>
          <w:tcPr>
            <w:tcW w:w="678" w:type="dxa"/>
            <w:tcBorders>
              <w:top w:val="single" w:color="auto" w:sz="4" w:space="0"/>
              <w:left w:val="single" w:color="auto" w:sz="4" w:space="0"/>
              <w:bottom w:val="single" w:color="auto" w:sz="4" w:space="0"/>
              <w:right w:val="single" w:color="auto" w:sz="4" w:space="0"/>
            </w:tcBorders>
            <w:vAlign w:val="center"/>
          </w:tcPr>
          <w:p w14:paraId="055B46F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2A4EE96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399660C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662A547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4F7D753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449CC82A">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671F816C">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26C1390F">
        <w:tblPrEx>
          <w:tblCellMar>
            <w:top w:w="0" w:type="dxa"/>
            <w:left w:w="108" w:type="dxa"/>
            <w:bottom w:w="0" w:type="dxa"/>
            <w:right w:w="108" w:type="dxa"/>
          </w:tblCellMar>
        </w:tblPrEx>
        <w:trPr>
          <w:trHeight w:val="81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170EBE5F">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1ADDF74E">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636AF87E">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5.</w:t>
            </w:r>
            <w:r>
              <w:rPr>
                <w:rFonts w:hint="eastAsia" w:ascii="黑体" w:hAnsi="黑体" w:eastAsia="黑体" w:cs="黑体"/>
                <w:color w:val="000000"/>
                <w:kern w:val="0"/>
                <w:sz w:val="20"/>
                <w:szCs w:val="20"/>
              </w:rPr>
              <w:t>要求行政机关确认或重新出具已获取信息</w:t>
            </w:r>
          </w:p>
        </w:tc>
        <w:tc>
          <w:tcPr>
            <w:tcW w:w="678" w:type="dxa"/>
            <w:tcBorders>
              <w:top w:val="single" w:color="auto" w:sz="4" w:space="0"/>
              <w:left w:val="single" w:color="auto" w:sz="4" w:space="0"/>
              <w:bottom w:val="single" w:color="auto" w:sz="4" w:space="0"/>
              <w:right w:val="single" w:color="auto" w:sz="4" w:space="0"/>
            </w:tcBorders>
            <w:vAlign w:val="center"/>
          </w:tcPr>
          <w:p w14:paraId="77460B6A">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124FFB4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065D532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357BC5C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0266F9B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5DD2769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786F7A7B">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4D621834">
        <w:tblPrEx>
          <w:tblCellMar>
            <w:top w:w="0" w:type="dxa"/>
            <w:left w:w="108" w:type="dxa"/>
            <w:bottom w:w="0" w:type="dxa"/>
            <w:right w:w="108" w:type="dxa"/>
          </w:tblCellMar>
        </w:tblPrEx>
        <w:trPr>
          <w:trHeight w:val="90"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101B8D04">
            <w:pPr>
              <w:widowControl/>
              <w:jc w:val="left"/>
              <w:rPr>
                <w:rFonts w:ascii="黑体" w:hAnsi="黑体" w:eastAsia="黑体"/>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vAlign w:val="center"/>
          </w:tcPr>
          <w:p w14:paraId="53F53CA9">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（六）其他处理</w:t>
            </w:r>
          </w:p>
        </w:tc>
        <w:tc>
          <w:tcPr>
            <w:tcW w:w="1618" w:type="dxa"/>
            <w:tcBorders>
              <w:top w:val="single" w:color="auto" w:sz="4" w:space="0"/>
              <w:left w:val="single" w:color="auto" w:sz="4" w:space="0"/>
              <w:bottom w:val="single" w:color="auto" w:sz="4" w:space="0"/>
              <w:right w:val="single" w:color="auto" w:sz="4" w:space="0"/>
            </w:tcBorders>
            <w:vAlign w:val="center"/>
          </w:tcPr>
          <w:p w14:paraId="169B9CB5">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1.申请人无正当理由逾期不补正、行政机关不再处理其他政府信息公开申请</w:t>
            </w:r>
          </w:p>
        </w:tc>
        <w:tc>
          <w:tcPr>
            <w:tcW w:w="678" w:type="dxa"/>
            <w:tcBorders>
              <w:top w:val="single" w:color="auto" w:sz="4" w:space="0"/>
              <w:left w:val="single" w:color="auto" w:sz="4" w:space="0"/>
              <w:bottom w:val="single" w:color="auto" w:sz="4" w:space="0"/>
              <w:right w:val="single" w:color="auto" w:sz="4" w:space="0"/>
            </w:tcBorders>
            <w:vAlign w:val="center"/>
          </w:tcPr>
          <w:p w14:paraId="5535166E">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66DE44B3">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0581EE4D">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184E32F2">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1CD3B2B1">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3BBCF033">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4D6533F4">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r>
      <w:tr w14:paraId="3C374D03">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1412C75C">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37A2F0E0">
            <w:pPr>
              <w:widowControl/>
              <w:jc w:val="left"/>
              <w:rPr>
                <w:rFonts w:ascii="黑体" w:hAnsi="黑体" w:eastAsia="黑体" w:cs="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3345CAFB">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2.申请人逾期未按收费通知要求缴纳费用、行政机关不再处理其他政府信息公开申请</w:t>
            </w:r>
          </w:p>
        </w:tc>
        <w:tc>
          <w:tcPr>
            <w:tcW w:w="678" w:type="dxa"/>
            <w:tcBorders>
              <w:top w:val="single" w:color="auto" w:sz="4" w:space="0"/>
              <w:left w:val="single" w:color="auto" w:sz="4" w:space="0"/>
              <w:bottom w:val="single" w:color="auto" w:sz="4" w:space="0"/>
              <w:right w:val="single" w:color="auto" w:sz="4" w:space="0"/>
            </w:tcBorders>
            <w:vAlign w:val="center"/>
          </w:tcPr>
          <w:p w14:paraId="64014BBD">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5FBCF80A">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0EA0AC95">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1C128627">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2FCFF41E">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52355138">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17511ADA">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r>
      <w:tr w14:paraId="7E4AB686">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0398293F">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4A4EA242">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14:paraId="3A7D65B8">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3.其他</w:t>
            </w:r>
          </w:p>
        </w:tc>
        <w:tc>
          <w:tcPr>
            <w:tcW w:w="678" w:type="dxa"/>
            <w:tcBorders>
              <w:top w:val="single" w:color="auto" w:sz="4" w:space="0"/>
              <w:left w:val="single" w:color="auto" w:sz="4" w:space="0"/>
              <w:bottom w:val="single" w:color="auto" w:sz="4" w:space="0"/>
              <w:right w:val="single" w:color="auto" w:sz="4" w:space="0"/>
            </w:tcBorders>
            <w:vAlign w:val="center"/>
          </w:tcPr>
          <w:p w14:paraId="6CE69F1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273D187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28AB16A7">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437FE058">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61D65D4F">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1D571A3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4652616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14:paraId="3C03D2F5">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78E68E07">
            <w:pPr>
              <w:widowControl/>
              <w:jc w:val="left"/>
              <w:rPr>
                <w:rFonts w:ascii="黑体" w:hAnsi="黑体" w:eastAsia="黑体"/>
                <w:color w:val="000000"/>
                <w:kern w:val="0"/>
                <w:sz w:val="20"/>
                <w:szCs w:val="20"/>
              </w:rPr>
            </w:pPr>
          </w:p>
        </w:tc>
        <w:tc>
          <w:tcPr>
            <w:tcW w:w="2494" w:type="dxa"/>
            <w:gridSpan w:val="2"/>
            <w:tcBorders>
              <w:top w:val="single" w:color="auto" w:sz="4" w:space="0"/>
              <w:left w:val="single" w:color="auto" w:sz="4" w:space="0"/>
              <w:bottom w:val="single" w:color="auto" w:sz="4" w:space="0"/>
              <w:right w:val="single" w:color="auto" w:sz="4" w:space="0"/>
            </w:tcBorders>
            <w:vAlign w:val="center"/>
          </w:tcPr>
          <w:p w14:paraId="0F134B45">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（七）总计</w:t>
            </w:r>
          </w:p>
        </w:tc>
        <w:tc>
          <w:tcPr>
            <w:tcW w:w="678" w:type="dxa"/>
            <w:tcBorders>
              <w:top w:val="single" w:color="auto" w:sz="4" w:space="0"/>
              <w:left w:val="single" w:color="auto" w:sz="4" w:space="0"/>
              <w:bottom w:val="single" w:color="auto" w:sz="4" w:space="0"/>
              <w:right w:val="single" w:color="auto" w:sz="4" w:space="0"/>
            </w:tcBorders>
            <w:vAlign w:val="center"/>
          </w:tcPr>
          <w:p w14:paraId="1E9B841E">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3</w:t>
            </w:r>
          </w:p>
        </w:tc>
        <w:tc>
          <w:tcPr>
            <w:tcW w:w="844" w:type="dxa"/>
            <w:tcBorders>
              <w:top w:val="single" w:color="auto" w:sz="4" w:space="0"/>
              <w:left w:val="single" w:color="auto" w:sz="4" w:space="0"/>
              <w:bottom w:val="single" w:color="auto" w:sz="4" w:space="0"/>
              <w:right w:val="single" w:color="auto" w:sz="4" w:space="0"/>
            </w:tcBorders>
            <w:vAlign w:val="center"/>
          </w:tcPr>
          <w:p w14:paraId="4567B7F8">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35AE991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15BB693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557EBB2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5F0B246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2294DB85">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3</w:t>
            </w:r>
          </w:p>
        </w:tc>
      </w:tr>
      <w:tr w14:paraId="0977569A">
        <w:tblPrEx>
          <w:tblCellMar>
            <w:top w:w="0" w:type="dxa"/>
            <w:left w:w="108" w:type="dxa"/>
            <w:bottom w:w="0" w:type="dxa"/>
            <w:right w:w="108" w:type="dxa"/>
          </w:tblCellMar>
        </w:tblPrEx>
        <w:trPr>
          <w:trHeight w:val="302" w:hRule="atLeast"/>
          <w:jc w:val="center"/>
        </w:trPr>
        <w:tc>
          <w:tcPr>
            <w:tcW w:w="3150" w:type="dxa"/>
            <w:gridSpan w:val="3"/>
            <w:tcBorders>
              <w:top w:val="single" w:color="auto" w:sz="4" w:space="0"/>
              <w:left w:val="single" w:color="auto" w:sz="4" w:space="0"/>
              <w:bottom w:val="single" w:color="auto" w:sz="4" w:space="0"/>
              <w:right w:val="single" w:color="auto" w:sz="4" w:space="0"/>
            </w:tcBorders>
            <w:vAlign w:val="center"/>
          </w:tcPr>
          <w:p w14:paraId="039E2798">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四、结转下年度继续办理</w:t>
            </w:r>
          </w:p>
        </w:tc>
        <w:tc>
          <w:tcPr>
            <w:tcW w:w="678" w:type="dxa"/>
            <w:tcBorders>
              <w:top w:val="single" w:color="auto" w:sz="4" w:space="0"/>
              <w:left w:val="single" w:color="auto" w:sz="4" w:space="0"/>
              <w:bottom w:val="single" w:color="auto" w:sz="4" w:space="0"/>
              <w:right w:val="single" w:color="auto" w:sz="4" w:space="0"/>
            </w:tcBorders>
            <w:vAlign w:val="center"/>
          </w:tcPr>
          <w:p w14:paraId="56B12F46">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14:paraId="4F29B790">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66B0AA22">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14:paraId="6690B8AD">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14:paraId="1EEB0D34">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14:paraId="30D43285">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14:paraId="72A9C4E3">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bl>
    <w:p w14:paraId="3A322A37">
      <w:pPr>
        <w:spacing w:line="560" w:lineRule="exact"/>
        <w:ind w:firstLine="640" w:firstLineChars="200"/>
        <w:rPr>
          <w:rFonts w:ascii="黑体" w:hAnsi="黑体" w:eastAsia="黑体"/>
          <w:color w:val="auto"/>
          <w:szCs w:val="32"/>
          <w:highlight w:val="none"/>
        </w:rPr>
      </w:pPr>
      <w:r>
        <w:rPr>
          <w:rFonts w:hint="eastAsia" w:ascii="黑体" w:hAnsi="黑体" w:eastAsia="黑体" w:cs="黑体"/>
          <w:color w:val="auto"/>
          <w:sz w:val="32"/>
          <w:szCs w:val="32"/>
          <w:highlight w:val="none"/>
        </w:rPr>
        <w:t>四、政府信息公开行政复议、行政诉讼情况</w:t>
      </w:r>
    </w:p>
    <w:tbl>
      <w:tblPr>
        <w:tblStyle w:val="5"/>
        <w:tblW w:w="8247" w:type="dxa"/>
        <w:jc w:val="center"/>
        <w:tblLayout w:type="autofit"/>
        <w:tblCellMar>
          <w:top w:w="0" w:type="dxa"/>
          <w:left w:w="108" w:type="dxa"/>
          <w:bottom w:w="0" w:type="dxa"/>
          <w:right w:w="108" w:type="dxa"/>
        </w:tblCellMar>
      </w:tblPr>
      <w:tblGrid>
        <w:gridCol w:w="549"/>
        <w:gridCol w:w="549"/>
        <w:gridCol w:w="549"/>
        <w:gridCol w:w="549"/>
        <w:gridCol w:w="553"/>
        <w:gridCol w:w="549"/>
        <w:gridCol w:w="549"/>
        <w:gridCol w:w="549"/>
        <w:gridCol w:w="549"/>
        <w:gridCol w:w="553"/>
        <w:gridCol w:w="549"/>
        <w:gridCol w:w="549"/>
        <w:gridCol w:w="549"/>
        <w:gridCol w:w="549"/>
        <w:gridCol w:w="553"/>
      </w:tblGrid>
      <w:tr w14:paraId="3D444A3A">
        <w:tblPrEx>
          <w:tblCellMar>
            <w:top w:w="0" w:type="dxa"/>
            <w:left w:w="108" w:type="dxa"/>
            <w:bottom w:w="0" w:type="dxa"/>
            <w:right w:w="108" w:type="dxa"/>
          </w:tblCellMar>
        </w:tblPrEx>
        <w:trPr>
          <w:trHeight w:val="501" w:hRule="atLeast"/>
          <w:jc w:val="center"/>
        </w:trPr>
        <w:tc>
          <w:tcPr>
            <w:tcW w:w="2749" w:type="dxa"/>
            <w:gridSpan w:val="5"/>
            <w:tcBorders>
              <w:top w:val="single" w:color="auto" w:sz="4" w:space="0"/>
              <w:left w:val="single" w:color="auto" w:sz="4" w:space="0"/>
              <w:bottom w:val="single" w:color="auto" w:sz="4" w:space="0"/>
              <w:right w:val="single" w:color="auto" w:sz="4" w:space="0"/>
            </w:tcBorders>
            <w:noWrap/>
            <w:vAlign w:val="center"/>
          </w:tcPr>
          <w:p w14:paraId="737022ED">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行政复议</w:t>
            </w:r>
          </w:p>
        </w:tc>
        <w:tc>
          <w:tcPr>
            <w:tcW w:w="5498" w:type="dxa"/>
            <w:gridSpan w:val="10"/>
            <w:tcBorders>
              <w:top w:val="single" w:color="auto" w:sz="4" w:space="0"/>
              <w:left w:val="single" w:color="auto" w:sz="4" w:space="0"/>
              <w:bottom w:val="single" w:color="auto" w:sz="4" w:space="0"/>
              <w:right w:val="single" w:color="auto" w:sz="4" w:space="0"/>
            </w:tcBorders>
            <w:vAlign w:val="center"/>
          </w:tcPr>
          <w:p w14:paraId="6E4AE69D">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行政诉讼</w:t>
            </w:r>
          </w:p>
        </w:tc>
      </w:tr>
      <w:tr w14:paraId="2470A66F">
        <w:tblPrEx>
          <w:tblCellMar>
            <w:top w:w="0" w:type="dxa"/>
            <w:left w:w="108" w:type="dxa"/>
            <w:bottom w:w="0" w:type="dxa"/>
            <w:right w:w="108" w:type="dxa"/>
          </w:tblCellMar>
        </w:tblPrEx>
        <w:trPr>
          <w:trHeight w:val="606" w:hRule="atLeast"/>
          <w:jc w:val="center"/>
        </w:trPr>
        <w:tc>
          <w:tcPr>
            <w:tcW w:w="549" w:type="dxa"/>
            <w:vMerge w:val="restart"/>
            <w:tcBorders>
              <w:top w:val="single" w:color="auto" w:sz="4" w:space="0"/>
              <w:left w:val="single" w:color="auto" w:sz="4" w:space="0"/>
              <w:bottom w:val="single" w:color="auto" w:sz="4" w:space="0"/>
              <w:right w:val="single" w:color="auto" w:sz="4" w:space="0"/>
            </w:tcBorders>
            <w:vAlign w:val="center"/>
          </w:tcPr>
          <w:p w14:paraId="493BF011">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结果维持</w:t>
            </w:r>
          </w:p>
        </w:tc>
        <w:tc>
          <w:tcPr>
            <w:tcW w:w="549" w:type="dxa"/>
            <w:vMerge w:val="restart"/>
            <w:tcBorders>
              <w:top w:val="single" w:color="auto" w:sz="4" w:space="0"/>
              <w:left w:val="single" w:color="auto" w:sz="4" w:space="0"/>
              <w:bottom w:val="single" w:color="auto" w:sz="4" w:space="0"/>
              <w:right w:val="single" w:color="auto" w:sz="4" w:space="0"/>
            </w:tcBorders>
            <w:vAlign w:val="center"/>
          </w:tcPr>
          <w:p w14:paraId="6374FE7C">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结果纠正</w:t>
            </w:r>
          </w:p>
        </w:tc>
        <w:tc>
          <w:tcPr>
            <w:tcW w:w="549" w:type="dxa"/>
            <w:vMerge w:val="restart"/>
            <w:tcBorders>
              <w:top w:val="single" w:color="auto" w:sz="4" w:space="0"/>
              <w:left w:val="single" w:color="auto" w:sz="4" w:space="0"/>
              <w:bottom w:val="single" w:color="auto" w:sz="4" w:space="0"/>
              <w:right w:val="single" w:color="auto" w:sz="4" w:space="0"/>
            </w:tcBorders>
            <w:vAlign w:val="center"/>
          </w:tcPr>
          <w:p w14:paraId="1703DA9B">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其他结果</w:t>
            </w:r>
          </w:p>
        </w:tc>
        <w:tc>
          <w:tcPr>
            <w:tcW w:w="549" w:type="dxa"/>
            <w:vMerge w:val="restart"/>
            <w:tcBorders>
              <w:top w:val="single" w:color="auto" w:sz="4" w:space="0"/>
              <w:left w:val="single" w:color="auto" w:sz="4" w:space="0"/>
              <w:bottom w:val="single" w:color="auto" w:sz="4" w:space="0"/>
              <w:right w:val="single" w:color="auto" w:sz="4" w:space="0"/>
            </w:tcBorders>
            <w:vAlign w:val="center"/>
          </w:tcPr>
          <w:p w14:paraId="466F08B2">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尚未审结</w:t>
            </w:r>
          </w:p>
        </w:tc>
        <w:tc>
          <w:tcPr>
            <w:tcW w:w="553" w:type="dxa"/>
            <w:vMerge w:val="restart"/>
            <w:tcBorders>
              <w:top w:val="single" w:color="auto" w:sz="4" w:space="0"/>
              <w:left w:val="single" w:color="auto" w:sz="4" w:space="0"/>
              <w:bottom w:val="single" w:color="auto" w:sz="4" w:space="0"/>
              <w:right w:val="single" w:color="auto" w:sz="4" w:space="0"/>
            </w:tcBorders>
            <w:vAlign w:val="center"/>
          </w:tcPr>
          <w:p w14:paraId="25F41484">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总计</w:t>
            </w:r>
          </w:p>
        </w:tc>
        <w:tc>
          <w:tcPr>
            <w:tcW w:w="2749" w:type="dxa"/>
            <w:gridSpan w:val="5"/>
            <w:tcBorders>
              <w:top w:val="single" w:color="auto" w:sz="4" w:space="0"/>
              <w:left w:val="single" w:color="auto" w:sz="4" w:space="0"/>
              <w:bottom w:val="single" w:color="auto" w:sz="4" w:space="0"/>
              <w:right w:val="single" w:color="auto" w:sz="4" w:space="0"/>
            </w:tcBorders>
            <w:vAlign w:val="center"/>
          </w:tcPr>
          <w:p w14:paraId="0FCD71C9">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未经复议直接起诉</w:t>
            </w:r>
          </w:p>
        </w:tc>
        <w:tc>
          <w:tcPr>
            <w:tcW w:w="2749" w:type="dxa"/>
            <w:gridSpan w:val="5"/>
            <w:tcBorders>
              <w:top w:val="single" w:color="auto" w:sz="4" w:space="0"/>
              <w:left w:val="single" w:color="auto" w:sz="4" w:space="0"/>
              <w:bottom w:val="single" w:color="auto" w:sz="4" w:space="0"/>
              <w:right w:val="single" w:color="auto" w:sz="4" w:space="0"/>
            </w:tcBorders>
            <w:vAlign w:val="center"/>
          </w:tcPr>
          <w:p w14:paraId="01881EE8">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复议后起诉</w:t>
            </w:r>
          </w:p>
        </w:tc>
      </w:tr>
      <w:tr w14:paraId="6F48A76E">
        <w:tblPrEx>
          <w:tblCellMar>
            <w:top w:w="0" w:type="dxa"/>
            <w:left w:w="108" w:type="dxa"/>
            <w:bottom w:w="0" w:type="dxa"/>
            <w:right w:w="108" w:type="dxa"/>
          </w:tblCellMar>
        </w:tblPrEx>
        <w:trPr>
          <w:trHeight w:val="1367" w:hRule="atLeast"/>
          <w:jc w:val="center"/>
        </w:trPr>
        <w:tc>
          <w:tcPr>
            <w:tcW w:w="549" w:type="dxa"/>
            <w:vMerge w:val="continue"/>
            <w:tcBorders>
              <w:top w:val="single" w:color="auto" w:sz="4" w:space="0"/>
              <w:left w:val="single" w:color="auto" w:sz="4" w:space="0"/>
              <w:bottom w:val="single" w:color="auto" w:sz="4" w:space="0"/>
              <w:right w:val="single" w:color="auto" w:sz="4" w:space="0"/>
            </w:tcBorders>
            <w:vAlign w:val="center"/>
          </w:tcPr>
          <w:p w14:paraId="0092FCDB">
            <w:pPr>
              <w:widowControl/>
              <w:jc w:val="left"/>
              <w:rPr>
                <w:rFonts w:ascii="黑体" w:hAnsi="黑体" w:eastAsia="黑体"/>
                <w:color w:val="auto"/>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vAlign w:val="center"/>
          </w:tcPr>
          <w:p w14:paraId="349ECEEA">
            <w:pPr>
              <w:widowControl/>
              <w:jc w:val="left"/>
              <w:rPr>
                <w:rFonts w:ascii="黑体" w:hAnsi="黑体" w:eastAsia="黑体"/>
                <w:color w:val="auto"/>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vAlign w:val="center"/>
          </w:tcPr>
          <w:p w14:paraId="7F0D7A40">
            <w:pPr>
              <w:widowControl/>
              <w:jc w:val="left"/>
              <w:rPr>
                <w:rFonts w:ascii="黑体" w:hAnsi="黑体" w:eastAsia="黑体"/>
                <w:color w:val="auto"/>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vAlign w:val="center"/>
          </w:tcPr>
          <w:p w14:paraId="7BB7D64A">
            <w:pPr>
              <w:widowControl/>
              <w:jc w:val="left"/>
              <w:rPr>
                <w:rFonts w:ascii="黑体" w:hAnsi="黑体" w:eastAsia="黑体"/>
                <w:color w:val="auto"/>
                <w:kern w:val="0"/>
                <w:sz w:val="20"/>
                <w:szCs w:val="20"/>
              </w:rPr>
            </w:pPr>
          </w:p>
        </w:tc>
        <w:tc>
          <w:tcPr>
            <w:tcW w:w="553" w:type="dxa"/>
            <w:vMerge w:val="continue"/>
            <w:tcBorders>
              <w:top w:val="single" w:color="auto" w:sz="4" w:space="0"/>
              <w:left w:val="single" w:color="auto" w:sz="4" w:space="0"/>
              <w:bottom w:val="single" w:color="auto" w:sz="4" w:space="0"/>
              <w:right w:val="single" w:color="auto" w:sz="4" w:space="0"/>
            </w:tcBorders>
            <w:vAlign w:val="center"/>
          </w:tcPr>
          <w:p w14:paraId="0343A5DC">
            <w:pPr>
              <w:widowControl/>
              <w:jc w:val="left"/>
              <w:rPr>
                <w:rFonts w:ascii="黑体" w:hAnsi="黑体" w:eastAsia="黑体"/>
                <w:color w:val="auto"/>
                <w:kern w:val="0"/>
                <w:sz w:val="20"/>
                <w:szCs w:val="20"/>
              </w:rPr>
            </w:pPr>
          </w:p>
        </w:tc>
        <w:tc>
          <w:tcPr>
            <w:tcW w:w="549" w:type="dxa"/>
            <w:tcBorders>
              <w:top w:val="single" w:color="auto" w:sz="4" w:space="0"/>
              <w:left w:val="single" w:color="auto" w:sz="4" w:space="0"/>
              <w:bottom w:val="single" w:color="auto" w:sz="4" w:space="0"/>
              <w:right w:val="single" w:color="auto" w:sz="4" w:space="0"/>
            </w:tcBorders>
            <w:vAlign w:val="center"/>
          </w:tcPr>
          <w:p w14:paraId="305122DD">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结果维持</w:t>
            </w:r>
          </w:p>
        </w:tc>
        <w:tc>
          <w:tcPr>
            <w:tcW w:w="549" w:type="dxa"/>
            <w:tcBorders>
              <w:top w:val="single" w:color="auto" w:sz="4" w:space="0"/>
              <w:left w:val="single" w:color="auto" w:sz="4" w:space="0"/>
              <w:bottom w:val="single" w:color="auto" w:sz="4" w:space="0"/>
              <w:right w:val="single" w:color="auto" w:sz="4" w:space="0"/>
            </w:tcBorders>
            <w:vAlign w:val="center"/>
          </w:tcPr>
          <w:p w14:paraId="345A6901">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结果纠正</w:t>
            </w:r>
          </w:p>
        </w:tc>
        <w:tc>
          <w:tcPr>
            <w:tcW w:w="549" w:type="dxa"/>
            <w:tcBorders>
              <w:top w:val="single" w:color="auto" w:sz="4" w:space="0"/>
              <w:left w:val="single" w:color="auto" w:sz="4" w:space="0"/>
              <w:bottom w:val="single" w:color="auto" w:sz="4" w:space="0"/>
              <w:right w:val="single" w:color="auto" w:sz="4" w:space="0"/>
            </w:tcBorders>
            <w:vAlign w:val="center"/>
          </w:tcPr>
          <w:p w14:paraId="57C5DE21">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其他结果</w:t>
            </w:r>
          </w:p>
        </w:tc>
        <w:tc>
          <w:tcPr>
            <w:tcW w:w="549" w:type="dxa"/>
            <w:tcBorders>
              <w:top w:val="single" w:color="auto" w:sz="4" w:space="0"/>
              <w:left w:val="single" w:color="auto" w:sz="4" w:space="0"/>
              <w:bottom w:val="single" w:color="auto" w:sz="4" w:space="0"/>
              <w:right w:val="single" w:color="auto" w:sz="4" w:space="0"/>
            </w:tcBorders>
            <w:vAlign w:val="center"/>
          </w:tcPr>
          <w:p w14:paraId="7A17F5CF">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尚未审结</w:t>
            </w:r>
          </w:p>
        </w:tc>
        <w:tc>
          <w:tcPr>
            <w:tcW w:w="553" w:type="dxa"/>
            <w:tcBorders>
              <w:top w:val="single" w:color="auto" w:sz="4" w:space="0"/>
              <w:left w:val="single" w:color="auto" w:sz="4" w:space="0"/>
              <w:bottom w:val="single" w:color="auto" w:sz="4" w:space="0"/>
              <w:right w:val="single" w:color="auto" w:sz="4" w:space="0"/>
            </w:tcBorders>
            <w:vAlign w:val="center"/>
          </w:tcPr>
          <w:p w14:paraId="08BDF834">
            <w:pPr>
              <w:widowControl/>
              <w:jc w:val="center"/>
              <w:rPr>
                <w:rFonts w:ascii="黑体" w:hAnsi="黑体" w:eastAsia="黑体"/>
                <w:b/>
                <w:bCs/>
                <w:color w:val="auto"/>
                <w:kern w:val="0"/>
                <w:sz w:val="20"/>
                <w:szCs w:val="20"/>
              </w:rPr>
            </w:pPr>
            <w:r>
              <w:rPr>
                <w:rFonts w:hint="eastAsia" w:ascii="黑体" w:hAnsi="黑体" w:eastAsia="黑体" w:cs="黑体"/>
                <w:b/>
                <w:bCs/>
                <w:color w:val="auto"/>
                <w:kern w:val="0"/>
                <w:sz w:val="20"/>
                <w:szCs w:val="20"/>
              </w:rPr>
              <w:t>总计</w:t>
            </w:r>
          </w:p>
        </w:tc>
        <w:tc>
          <w:tcPr>
            <w:tcW w:w="549" w:type="dxa"/>
            <w:tcBorders>
              <w:top w:val="single" w:color="auto" w:sz="4" w:space="0"/>
              <w:left w:val="single" w:color="auto" w:sz="4" w:space="0"/>
              <w:bottom w:val="single" w:color="auto" w:sz="4" w:space="0"/>
              <w:right w:val="single" w:color="auto" w:sz="4" w:space="0"/>
            </w:tcBorders>
            <w:vAlign w:val="center"/>
          </w:tcPr>
          <w:p w14:paraId="6314349B">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结果维持</w:t>
            </w:r>
          </w:p>
        </w:tc>
        <w:tc>
          <w:tcPr>
            <w:tcW w:w="549" w:type="dxa"/>
            <w:tcBorders>
              <w:top w:val="single" w:color="auto" w:sz="4" w:space="0"/>
              <w:left w:val="single" w:color="auto" w:sz="4" w:space="0"/>
              <w:bottom w:val="single" w:color="auto" w:sz="4" w:space="0"/>
              <w:right w:val="single" w:color="auto" w:sz="4" w:space="0"/>
            </w:tcBorders>
            <w:vAlign w:val="center"/>
          </w:tcPr>
          <w:p w14:paraId="472494DD">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结果纠正</w:t>
            </w:r>
          </w:p>
        </w:tc>
        <w:tc>
          <w:tcPr>
            <w:tcW w:w="549" w:type="dxa"/>
            <w:tcBorders>
              <w:top w:val="single" w:color="auto" w:sz="4" w:space="0"/>
              <w:left w:val="single" w:color="auto" w:sz="4" w:space="0"/>
              <w:bottom w:val="single" w:color="auto" w:sz="4" w:space="0"/>
              <w:right w:val="single" w:color="auto" w:sz="4" w:space="0"/>
            </w:tcBorders>
            <w:vAlign w:val="center"/>
          </w:tcPr>
          <w:p w14:paraId="0D5B3F7E">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其他结果</w:t>
            </w:r>
          </w:p>
        </w:tc>
        <w:tc>
          <w:tcPr>
            <w:tcW w:w="549" w:type="dxa"/>
            <w:tcBorders>
              <w:top w:val="single" w:color="auto" w:sz="4" w:space="0"/>
              <w:left w:val="single" w:color="auto" w:sz="4" w:space="0"/>
              <w:bottom w:val="single" w:color="auto" w:sz="4" w:space="0"/>
              <w:right w:val="single" w:color="auto" w:sz="4" w:space="0"/>
            </w:tcBorders>
            <w:vAlign w:val="center"/>
          </w:tcPr>
          <w:p w14:paraId="3B6D32D2">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尚未审结</w:t>
            </w:r>
          </w:p>
        </w:tc>
        <w:tc>
          <w:tcPr>
            <w:tcW w:w="553" w:type="dxa"/>
            <w:tcBorders>
              <w:top w:val="single" w:color="auto" w:sz="4" w:space="0"/>
              <w:left w:val="single" w:color="auto" w:sz="4" w:space="0"/>
              <w:bottom w:val="single" w:color="auto" w:sz="4" w:space="0"/>
              <w:right w:val="single" w:color="auto" w:sz="4" w:space="0"/>
            </w:tcBorders>
            <w:vAlign w:val="center"/>
          </w:tcPr>
          <w:p w14:paraId="7BDF85B5">
            <w:pPr>
              <w:widowControl/>
              <w:jc w:val="center"/>
              <w:rPr>
                <w:rFonts w:ascii="黑体" w:hAnsi="黑体" w:eastAsia="黑体"/>
                <w:b/>
                <w:bCs/>
                <w:color w:val="auto"/>
                <w:kern w:val="0"/>
                <w:sz w:val="20"/>
                <w:szCs w:val="20"/>
              </w:rPr>
            </w:pPr>
            <w:r>
              <w:rPr>
                <w:rFonts w:hint="eastAsia" w:ascii="黑体" w:hAnsi="黑体" w:eastAsia="黑体" w:cs="黑体"/>
                <w:b/>
                <w:bCs/>
                <w:color w:val="auto"/>
                <w:kern w:val="0"/>
                <w:sz w:val="20"/>
                <w:szCs w:val="20"/>
              </w:rPr>
              <w:t>总计</w:t>
            </w:r>
          </w:p>
        </w:tc>
      </w:tr>
      <w:tr w14:paraId="62BBC3CE">
        <w:tblPrEx>
          <w:tblCellMar>
            <w:top w:w="0" w:type="dxa"/>
            <w:left w:w="108" w:type="dxa"/>
            <w:bottom w:w="0" w:type="dxa"/>
            <w:right w:w="108" w:type="dxa"/>
          </w:tblCellMar>
        </w:tblPrEx>
        <w:trPr>
          <w:trHeight w:val="406" w:hRule="atLeast"/>
          <w:jc w:val="center"/>
        </w:trPr>
        <w:tc>
          <w:tcPr>
            <w:tcW w:w="549" w:type="dxa"/>
            <w:tcBorders>
              <w:top w:val="single" w:color="auto" w:sz="4" w:space="0"/>
              <w:left w:val="single" w:color="auto" w:sz="4" w:space="0"/>
              <w:bottom w:val="single" w:color="auto" w:sz="4" w:space="0"/>
              <w:right w:val="single" w:color="auto" w:sz="4" w:space="0"/>
            </w:tcBorders>
            <w:noWrap/>
            <w:vAlign w:val="center"/>
          </w:tcPr>
          <w:p w14:paraId="05A2F315">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14:paraId="3C3AEBE6">
            <w:pPr>
              <w:widowControl/>
              <w:jc w:val="center"/>
              <w:rPr>
                <w:rFonts w:ascii="黑体" w:hAnsi="黑体" w:eastAsia="黑体"/>
                <w:color w:val="auto"/>
                <w:kern w:val="0"/>
                <w:sz w:val="20"/>
                <w:szCs w:val="20"/>
              </w:rPr>
            </w:pPr>
            <w:r>
              <w:rPr>
                <w:rFonts w:hint="eastAsia" w:hAnsi="黑体" w:eastAsia="黑体"/>
                <w:color w:val="auto"/>
                <w:kern w:val="0"/>
                <w:sz w:val="20"/>
                <w:szCs w:val="20"/>
                <w:lang w:val="en-US" w:eastAsia="zh-CN"/>
              </w:rPr>
              <w:t>1</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14:paraId="034A1EF4">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14:paraId="540483A8">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53" w:type="dxa"/>
            <w:tcBorders>
              <w:top w:val="single" w:color="auto" w:sz="4" w:space="0"/>
              <w:left w:val="single" w:color="auto" w:sz="4" w:space="0"/>
              <w:bottom w:val="single" w:color="auto" w:sz="4" w:space="0"/>
              <w:right w:val="single" w:color="auto" w:sz="4" w:space="0"/>
            </w:tcBorders>
            <w:noWrap/>
            <w:vAlign w:val="center"/>
          </w:tcPr>
          <w:p w14:paraId="01726B83">
            <w:pPr>
              <w:widowControl/>
              <w:jc w:val="center"/>
              <w:rPr>
                <w:rFonts w:ascii="黑体" w:hAnsi="黑体" w:eastAsia="黑体"/>
                <w:color w:val="auto"/>
                <w:kern w:val="0"/>
                <w:sz w:val="20"/>
                <w:szCs w:val="20"/>
              </w:rPr>
            </w:pPr>
            <w:r>
              <w:rPr>
                <w:rFonts w:hint="eastAsia" w:hAnsi="黑体" w:eastAsia="黑体"/>
                <w:color w:val="auto"/>
                <w:kern w:val="0"/>
                <w:sz w:val="20"/>
                <w:szCs w:val="20"/>
                <w:lang w:val="en-US" w:eastAsia="zh-CN"/>
              </w:rPr>
              <w:t>1</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14:paraId="08127B3B">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14:paraId="617874C8">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14:paraId="32511B75">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14:paraId="78AB5488">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53" w:type="dxa"/>
            <w:tcBorders>
              <w:top w:val="single" w:color="auto" w:sz="4" w:space="0"/>
              <w:left w:val="single" w:color="auto" w:sz="4" w:space="0"/>
              <w:bottom w:val="single" w:color="auto" w:sz="4" w:space="0"/>
              <w:right w:val="single" w:color="auto" w:sz="4" w:space="0"/>
            </w:tcBorders>
            <w:vAlign w:val="center"/>
          </w:tcPr>
          <w:p w14:paraId="4D65ED4C">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14:paraId="60D777DC">
            <w:pPr>
              <w:widowControl/>
              <w:jc w:val="center"/>
              <w:rPr>
                <w:rFonts w:ascii="黑体" w:hAnsi="黑体" w:eastAsia="黑体"/>
                <w:color w:val="auto"/>
                <w:kern w:val="0"/>
                <w:sz w:val="20"/>
                <w:szCs w:val="20"/>
              </w:rPr>
            </w:pPr>
            <w:r>
              <w:rPr>
                <w:rFonts w:hint="eastAsia" w:hAnsi="黑体" w:eastAsia="黑体"/>
                <w:color w:val="auto"/>
                <w:kern w:val="0"/>
                <w:sz w:val="20"/>
                <w:szCs w:val="20"/>
                <w:lang w:val="en-US" w:eastAsia="zh-CN"/>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14:paraId="36A50BB3">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14:paraId="01B93250">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14:paraId="060525E5">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53" w:type="dxa"/>
            <w:tcBorders>
              <w:top w:val="single" w:color="auto" w:sz="4" w:space="0"/>
              <w:left w:val="single" w:color="auto" w:sz="4" w:space="0"/>
              <w:bottom w:val="single" w:color="auto" w:sz="4" w:space="0"/>
              <w:right w:val="single" w:color="auto" w:sz="4" w:space="0"/>
            </w:tcBorders>
            <w:vAlign w:val="center"/>
          </w:tcPr>
          <w:p w14:paraId="2EAA4C8F">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r>
    </w:tbl>
    <w:p w14:paraId="4B87A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五、存在的主要问题及改进情况</w:t>
      </w:r>
    </w:p>
    <w:p w14:paraId="7ECF3D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（一）存在问题</w:t>
      </w:r>
    </w:p>
    <w:p w14:paraId="69621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一是公开覆盖面不够全面，税收政策宣传方式还需进一步加强。二是整合性差，不同部门的信息公开统一性较差，部门间配合度较弱。</w:t>
      </w:r>
    </w:p>
    <w:p w14:paraId="49D14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（二）改进措施</w:t>
      </w:r>
    </w:p>
    <w:p w14:paraId="7FD76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color w:val="auto"/>
          <w:spacing w:val="4"/>
          <w:sz w:val="32"/>
          <w:szCs w:val="32"/>
        </w:rPr>
      </w:pPr>
      <w:r>
        <w:rPr>
          <w:rFonts w:hint="eastAsia" w:ascii="仿宋_GB2312" w:eastAsia="仿宋_GB2312"/>
          <w:b w:val="0"/>
          <w:bCs w:val="0"/>
          <w:color w:val="auto"/>
          <w:sz w:val="32"/>
          <w:szCs w:val="32"/>
        </w:rPr>
        <w:t>一是</w:t>
      </w:r>
      <w:r>
        <w:rPr>
          <w:rFonts w:hint="eastAsia" w:ascii="仿宋_GB2312" w:eastAsia="仿宋_GB2312"/>
          <w:b w:val="0"/>
          <w:bCs w:val="0"/>
          <w:color w:val="auto"/>
          <w:sz w:val="32"/>
          <w:szCs w:val="32"/>
          <w:lang w:val="en-US" w:eastAsia="zh-CN"/>
        </w:rPr>
        <w:t>丰富宣传方式，</w:t>
      </w:r>
      <w:r>
        <w:rPr>
          <w:rFonts w:hint="eastAsia" w:ascii="仿宋_GB2312" w:eastAsia="仿宋_GB2312"/>
          <w:b w:val="0"/>
          <w:bCs w:val="0"/>
          <w:color w:val="auto"/>
          <w:sz w:val="32"/>
          <w:szCs w:val="32"/>
          <w:lang w:eastAsia="zh-CN"/>
        </w:rPr>
        <w:t>依托</w:t>
      </w:r>
      <w:r>
        <w:rPr>
          <w:rFonts w:hint="eastAsia" w:ascii="仿宋_GB2312" w:eastAsia="仿宋_GB2312"/>
          <w:b w:val="0"/>
          <w:bCs w:val="0"/>
          <w:color w:val="auto"/>
          <w:sz w:val="32"/>
          <w:szCs w:val="32"/>
          <w:lang w:val="en-US" w:eastAsia="zh-CN"/>
        </w:rPr>
        <w:t>区局特色</w:t>
      </w:r>
      <w:r>
        <w:rPr>
          <w:rFonts w:hint="eastAsia" w:ascii="仿宋_GB2312" w:eastAsia="仿宋_GB2312"/>
          <w:b w:val="0"/>
          <w:bCs w:val="0"/>
          <w:color w:val="auto"/>
          <w:sz w:val="32"/>
          <w:szCs w:val="32"/>
          <w:lang w:eastAsia="zh-CN"/>
        </w:rPr>
        <w:t>税费政策宣传品牌，</w:t>
      </w:r>
      <w:r>
        <w:rPr>
          <w:rFonts w:hint="eastAsia" w:ascii="仿宋_GB2312" w:eastAsia="仿宋_GB2312"/>
          <w:b w:val="0"/>
          <w:bCs w:val="0"/>
          <w:color w:val="auto"/>
          <w:sz w:val="32"/>
          <w:szCs w:val="32"/>
          <w:lang w:val="en-US" w:eastAsia="zh-CN"/>
        </w:rPr>
        <w:t>加强人员</w:t>
      </w:r>
      <w:r>
        <w:rPr>
          <w:rFonts w:hint="eastAsia" w:ascii="仿宋_GB2312" w:eastAsia="仿宋_GB2312"/>
          <w:b w:val="0"/>
          <w:bCs w:val="0"/>
          <w:color w:val="auto"/>
          <w:sz w:val="32"/>
          <w:szCs w:val="32"/>
          <w:lang w:eastAsia="zh-CN"/>
        </w:rPr>
        <w:t>政策学习培训，</w:t>
      </w:r>
      <w:r>
        <w:rPr>
          <w:rFonts w:hint="eastAsia" w:ascii="仿宋_GB2312" w:eastAsia="仿宋_GB2312"/>
          <w:b w:val="0"/>
          <w:bCs w:val="0"/>
          <w:color w:val="auto"/>
          <w:sz w:val="32"/>
          <w:szCs w:val="32"/>
          <w:lang w:val="en-US" w:eastAsia="zh-CN"/>
        </w:rPr>
        <w:t>强化</w:t>
      </w:r>
      <w:r>
        <w:rPr>
          <w:rFonts w:hint="eastAsia" w:ascii="仿宋_GB2312" w:eastAsia="仿宋_GB2312"/>
          <w:b w:val="0"/>
          <w:bCs w:val="0"/>
          <w:color w:val="auto"/>
          <w:sz w:val="32"/>
          <w:szCs w:val="32"/>
          <w:lang w:eastAsia="zh-CN"/>
        </w:rPr>
        <w:t>政策宣传辅导，进一步提升政策宣传辅导质效。二</w:t>
      </w:r>
      <w:r>
        <w:rPr>
          <w:rFonts w:hint="eastAsia" w:ascii="仿宋_GB2312" w:eastAsia="仿宋_GB2312"/>
          <w:b w:val="0"/>
          <w:bCs w:val="0"/>
          <w:color w:val="auto"/>
          <w:sz w:val="32"/>
          <w:szCs w:val="32"/>
        </w:rPr>
        <w:t>是</w:t>
      </w:r>
      <w:r>
        <w:rPr>
          <w:rFonts w:hint="eastAsia" w:ascii="仿宋_GB2312" w:eastAsia="仿宋_GB2312"/>
          <w:b w:val="0"/>
          <w:bCs w:val="0"/>
          <w:color w:val="auto"/>
          <w:sz w:val="32"/>
          <w:szCs w:val="32"/>
          <w:lang w:val="en-US" w:eastAsia="zh-CN"/>
        </w:rPr>
        <w:t>强化信息公开整合力度，明晰各部门工作职责</w:t>
      </w:r>
      <w:r>
        <w:rPr>
          <w:rFonts w:hint="eastAsia" w:ascii="仿宋_GB2312" w:eastAsia="仿宋_GB2312"/>
          <w:b w:val="0"/>
          <w:bCs w:val="0"/>
          <w:color w:val="auto"/>
          <w:sz w:val="32"/>
          <w:szCs w:val="32"/>
        </w:rPr>
        <w:t>，提高责任意识和效率意识，进一步推进政府信息公开工作</w:t>
      </w:r>
      <w:r>
        <w:rPr>
          <w:rFonts w:hint="eastAsia" w:ascii="仿宋_GB2312" w:eastAsia="仿宋_GB2312"/>
          <w:b w:val="0"/>
          <w:bCs w:val="0"/>
          <w:color w:val="auto"/>
          <w:spacing w:val="4"/>
          <w:sz w:val="32"/>
          <w:szCs w:val="32"/>
        </w:rPr>
        <w:t>规范化。</w:t>
      </w:r>
    </w:p>
    <w:p w14:paraId="66F56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六、其他需要报告的事项</w:t>
      </w:r>
    </w:p>
    <w:p w14:paraId="645F7C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2024年，经开区税务局无收取信息处理费相关情况。</w:t>
      </w:r>
    </w:p>
    <w:p w14:paraId="1EF350A3">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仿宋_GB2312" w:eastAsia="仿宋_GB2312"/>
          <w:spacing w:val="4"/>
          <w:sz w:val="32"/>
          <w:szCs w:val="32"/>
        </w:rPr>
      </w:pPr>
    </w:p>
    <w:p w14:paraId="4DF64409">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仿宋_GB2312" w:eastAsia="仿宋_GB2312"/>
          <w:spacing w:val="4"/>
          <w:sz w:val="32"/>
          <w:szCs w:val="32"/>
        </w:rPr>
      </w:pPr>
    </w:p>
    <w:p w14:paraId="5ABFAD2A">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仿宋_GB2312" w:eastAsia="仿宋_GB2312"/>
          <w:spacing w:val="4"/>
          <w:sz w:val="32"/>
          <w:szCs w:val="32"/>
        </w:rPr>
      </w:pPr>
    </w:p>
    <w:p w14:paraId="745AFD30">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right"/>
        <w:textAlignment w:val="auto"/>
        <w:rPr>
          <w:rFonts w:ascii="仿宋_GB2312" w:eastAsia="仿宋_GB2312"/>
          <w:spacing w:val="4"/>
          <w:sz w:val="32"/>
          <w:szCs w:val="32"/>
        </w:rPr>
      </w:pPr>
      <w:r>
        <w:rPr>
          <w:rFonts w:hint="eastAsia" w:ascii="仿宋_GB2312" w:eastAsia="仿宋_GB2312"/>
          <w:spacing w:val="4"/>
          <w:sz w:val="32"/>
          <w:szCs w:val="32"/>
        </w:rPr>
        <w:t xml:space="preserve">          国家税务总局贵阳经济技术开发区税务局</w:t>
      </w:r>
    </w:p>
    <w:p w14:paraId="2D8C5A19">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center"/>
        <w:textAlignment w:val="auto"/>
        <w:rPr>
          <w:rFonts w:ascii="仿宋" w:hAnsi="仿宋" w:eastAsia="仿宋"/>
          <w:sz w:val="32"/>
          <w:szCs w:val="32"/>
        </w:rPr>
      </w:pPr>
      <w:r>
        <w:rPr>
          <w:rFonts w:hint="eastAsia" w:ascii="仿宋_GB2312" w:eastAsia="仿宋_GB2312"/>
          <w:spacing w:val="4"/>
          <w:sz w:val="32"/>
          <w:szCs w:val="32"/>
        </w:rPr>
        <w:t xml:space="preserve">                202</w:t>
      </w:r>
      <w:r>
        <w:rPr>
          <w:rFonts w:hint="eastAsia" w:ascii="仿宋_GB2312" w:eastAsia="仿宋_GB2312"/>
          <w:spacing w:val="4"/>
          <w:sz w:val="32"/>
          <w:szCs w:val="32"/>
          <w:lang w:val="en-US" w:eastAsia="zh-CN"/>
        </w:rPr>
        <w:t>5</w:t>
      </w:r>
      <w:r>
        <w:rPr>
          <w:rFonts w:hint="eastAsia" w:ascii="仿宋_GB2312" w:eastAsia="仿宋_GB2312"/>
          <w:spacing w:val="4"/>
          <w:sz w:val="32"/>
          <w:szCs w:val="32"/>
        </w:rPr>
        <w:t>年1月</w:t>
      </w:r>
      <w:r>
        <w:rPr>
          <w:rFonts w:hint="eastAsia" w:ascii="仿宋_GB2312" w:eastAsia="仿宋_GB2312"/>
          <w:spacing w:val="4"/>
          <w:sz w:val="32"/>
          <w:szCs w:val="32"/>
          <w:lang w:val="en-US" w:eastAsia="zh-CN"/>
        </w:rPr>
        <w:t>22</w:t>
      </w:r>
      <w:bookmarkStart w:id="0" w:name="_GoBack"/>
      <w:bookmarkEnd w:id="0"/>
      <w:r>
        <w:rPr>
          <w:rFonts w:hint="eastAsia" w:ascii="仿宋_GB2312" w:eastAsia="仿宋_GB2312"/>
          <w:spacing w:val="4"/>
          <w:sz w:val="32"/>
          <w:szCs w:val="32"/>
        </w:rPr>
        <w:t xml:space="preserve">日 </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022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3F06B">
                          <w:pPr>
                            <w:pStyle w:val="3"/>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E3F06B">
                    <w:pPr>
                      <w:pStyle w:val="3"/>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Q1OTk2OTQwYjE5Y2FmZjRjNjUxNmRlOWJiMzYifQ=="/>
  </w:docVars>
  <w:rsids>
    <w:rsidRoot w:val="009F0EEB"/>
    <w:rsid w:val="000011B9"/>
    <w:rsid w:val="00012517"/>
    <w:rsid w:val="0002422F"/>
    <w:rsid w:val="00024925"/>
    <w:rsid w:val="00056019"/>
    <w:rsid w:val="00062645"/>
    <w:rsid w:val="00074F79"/>
    <w:rsid w:val="00085A15"/>
    <w:rsid w:val="0009765A"/>
    <w:rsid w:val="000A4C28"/>
    <w:rsid w:val="000A56B2"/>
    <w:rsid w:val="000E2B09"/>
    <w:rsid w:val="000E7403"/>
    <w:rsid w:val="000F536B"/>
    <w:rsid w:val="0010417B"/>
    <w:rsid w:val="00120D13"/>
    <w:rsid w:val="00125003"/>
    <w:rsid w:val="00152572"/>
    <w:rsid w:val="00156D2F"/>
    <w:rsid w:val="001615DE"/>
    <w:rsid w:val="00192977"/>
    <w:rsid w:val="00194830"/>
    <w:rsid w:val="001956A8"/>
    <w:rsid w:val="00195FF0"/>
    <w:rsid w:val="001A0A44"/>
    <w:rsid w:val="001B2E12"/>
    <w:rsid w:val="001B6E50"/>
    <w:rsid w:val="001B79CB"/>
    <w:rsid w:val="001C03CF"/>
    <w:rsid w:val="001D12E6"/>
    <w:rsid w:val="001D53D5"/>
    <w:rsid w:val="001F25F2"/>
    <w:rsid w:val="001F5B08"/>
    <w:rsid w:val="002146F3"/>
    <w:rsid w:val="00214C21"/>
    <w:rsid w:val="0022253A"/>
    <w:rsid w:val="00225D9D"/>
    <w:rsid w:val="0025358D"/>
    <w:rsid w:val="00266032"/>
    <w:rsid w:val="00267B89"/>
    <w:rsid w:val="00290C2B"/>
    <w:rsid w:val="00291D0D"/>
    <w:rsid w:val="002A4C31"/>
    <w:rsid w:val="002D2BF6"/>
    <w:rsid w:val="002E1844"/>
    <w:rsid w:val="002E1929"/>
    <w:rsid w:val="002E5E0A"/>
    <w:rsid w:val="00327051"/>
    <w:rsid w:val="00340F72"/>
    <w:rsid w:val="00373F3E"/>
    <w:rsid w:val="003754B1"/>
    <w:rsid w:val="00386201"/>
    <w:rsid w:val="003B1872"/>
    <w:rsid w:val="003B75C6"/>
    <w:rsid w:val="003C363A"/>
    <w:rsid w:val="003D5A71"/>
    <w:rsid w:val="003F3D34"/>
    <w:rsid w:val="0041679E"/>
    <w:rsid w:val="004254AE"/>
    <w:rsid w:val="0044689A"/>
    <w:rsid w:val="0044693D"/>
    <w:rsid w:val="00460F56"/>
    <w:rsid w:val="004670F9"/>
    <w:rsid w:val="00481AA0"/>
    <w:rsid w:val="00487C88"/>
    <w:rsid w:val="00492EEA"/>
    <w:rsid w:val="0049514A"/>
    <w:rsid w:val="004B55AB"/>
    <w:rsid w:val="004C001F"/>
    <w:rsid w:val="004D3362"/>
    <w:rsid w:val="004F3BB3"/>
    <w:rsid w:val="004F7832"/>
    <w:rsid w:val="00501C16"/>
    <w:rsid w:val="00503151"/>
    <w:rsid w:val="00510795"/>
    <w:rsid w:val="00535A9A"/>
    <w:rsid w:val="00553AD7"/>
    <w:rsid w:val="00572264"/>
    <w:rsid w:val="005777CB"/>
    <w:rsid w:val="00581886"/>
    <w:rsid w:val="00597749"/>
    <w:rsid w:val="005B7ECC"/>
    <w:rsid w:val="00603F04"/>
    <w:rsid w:val="00605A70"/>
    <w:rsid w:val="00627967"/>
    <w:rsid w:val="00633C24"/>
    <w:rsid w:val="0064771E"/>
    <w:rsid w:val="00654CF3"/>
    <w:rsid w:val="00657779"/>
    <w:rsid w:val="006604E7"/>
    <w:rsid w:val="00672B3A"/>
    <w:rsid w:val="006821F0"/>
    <w:rsid w:val="00682547"/>
    <w:rsid w:val="006A107D"/>
    <w:rsid w:val="006B115C"/>
    <w:rsid w:val="006B777F"/>
    <w:rsid w:val="00706B99"/>
    <w:rsid w:val="00711FC9"/>
    <w:rsid w:val="007446D6"/>
    <w:rsid w:val="00790542"/>
    <w:rsid w:val="00794C1B"/>
    <w:rsid w:val="007A2DA5"/>
    <w:rsid w:val="007C1F69"/>
    <w:rsid w:val="007D33F4"/>
    <w:rsid w:val="007D466F"/>
    <w:rsid w:val="007E0069"/>
    <w:rsid w:val="008134D2"/>
    <w:rsid w:val="008234A1"/>
    <w:rsid w:val="0082777A"/>
    <w:rsid w:val="008442AE"/>
    <w:rsid w:val="0084642E"/>
    <w:rsid w:val="00847FE4"/>
    <w:rsid w:val="00866BDE"/>
    <w:rsid w:val="008731FD"/>
    <w:rsid w:val="00886086"/>
    <w:rsid w:val="008C3331"/>
    <w:rsid w:val="008D049C"/>
    <w:rsid w:val="008E487C"/>
    <w:rsid w:val="008E6F16"/>
    <w:rsid w:val="00901D17"/>
    <w:rsid w:val="0092074D"/>
    <w:rsid w:val="00922330"/>
    <w:rsid w:val="00925162"/>
    <w:rsid w:val="00956322"/>
    <w:rsid w:val="00967E0E"/>
    <w:rsid w:val="009704A3"/>
    <w:rsid w:val="009C19FD"/>
    <w:rsid w:val="009D2B8D"/>
    <w:rsid w:val="009F0EEB"/>
    <w:rsid w:val="009F1D34"/>
    <w:rsid w:val="00A107F9"/>
    <w:rsid w:val="00A41F74"/>
    <w:rsid w:val="00A45327"/>
    <w:rsid w:val="00A51CEF"/>
    <w:rsid w:val="00A75D3F"/>
    <w:rsid w:val="00AA1DC8"/>
    <w:rsid w:val="00AA7E3A"/>
    <w:rsid w:val="00AB068E"/>
    <w:rsid w:val="00AC650A"/>
    <w:rsid w:val="00B00ED3"/>
    <w:rsid w:val="00B05965"/>
    <w:rsid w:val="00B2179A"/>
    <w:rsid w:val="00B44651"/>
    <w:rsid w:val="00B701D0"/>
    <w:rsid w:val="00B755BE"/>
    <w:rsid w:val="00B7649B"/>
    <w:rsid w:val="00B82DCC"/>
    <w:rsid w:val="00B95994"/>
    <w:rsid w:val="00BB61F8"/>
    <w:rsid w:val="00BC6806"/>
    <w:rsid w:val="00BE7565"/>
    <w:rsid w:val="00C0285E"/>
    <w:rsid w:val="00C05032"/>
    <w:rsid w:val="00C142F6"/>
    <w:rsid w:val="00C24DF1"/>
    <w:rsid w:val="00C35708"/>
    <w:rsid w:val="00C625CA"/>
    <w:rsid w:val="00C81740"/>
    <w:rsid w:val="00C86F16"/>
    <w:rsid w:val="00C9700D"/>
    <w:rsid w:val="00CA0AAC"/>
    <w:rsid w:val="00CC4CB5"/>
    <w:rsid w:val="00CE17C6"/>
    <w:rsid w:val="00CE2DC2"/>
    <w:rsid w:val="00CF78BC"/>
    <w:rsid w:val="00D0466A"/>
    <w:rsid w:val="00D07903"/>
    <w:rsid w:val="00D24A34"/>
    <w:rsid w:val="00D25DBA"/>
    <w:rsid w:val="00D33CE8"/>
    <w:rsid w:val="00D4310C"/>
    <w:rsid w:val="00D47E0F"/>
    <w:rsid w:val="00D56487"/>
    <w:rsid w:val="00D67A1A"/>
    <w:rsid w:val="00D85333"/>
    <w:rsid w:val="00D94140"/>
    <w:rsid w:val="00DA5160"/>
    <w:rsid w:val="00DB5528"/>
    <w:rsid w:val="00DC1735"/>
    <w:rsid w:val="00DC6283"/>
    <w:rsid w:val="00DF501B"/>
    <w:rsid w:val="00DF63E5"/>
    <w:rsid w:val="00E25263"/>
    <w:rsid w:val="00E345B8"/>
    <w:rsid w:val="00E373C0"/>
    <w:rsid w:val="00E5044A"/>
    <w:rsid w:val="00E66ED6"/>
    <w:rsid w:val="00E8045F"/>
    <w:rsid w:val="00E953AA"/>
    <w:rsid w:val="00EE6A26"/>
    <w:rsid w:val="00EF23CA"/>
    <w:rsid w:val="00EF78CA"/>
    <w:rsid w:val="00F45F22"/>
    <w:rsid w:val="00F53F36"/>
    <w:rsid w:val="00F54ADF"/>
    <w:rsid w:val="00F72CEC"/>
    <w:rsid w:val="00F819B5"/>
    <w:rsid w:val="00FA2B39"/>
    <w:rsid w:val="00FB78B2"/>
    <w:rsid w:val="00FD322B"/>
    <w:rsid w:val="00FE62D5"/>
    <w:rsid w:val="00FF34D0"/>
    <w:rsid w:val="00FF5894"/>
    <w:rsid w:val="00FF7EB9"/>
    <w:rsid w:val="01790424"/>
    <w:rsid w:val="037D7368"/>
    <w:rsid w:val="04086C48"/>
    <w:rsid w:val="05B72A07"/>
    <w:rsid w:val="0616106A"/>
    <w:rsid w:val="069D70BB"/>
    <w:rsid w:val="077C190D"/>
    <w:rsid w:val="0A2117B8"/>
    <w:rsid w:val="0A285D34"/>
    <w:rsid w:val="0B18223B"/>
    <w:rsid w:val="0BEC5218"/>
    <w:rsid w:val="0DB01182"/>
    <w:rsid w:val="0EBC412A"/>
    <w:rsid w:val="106529D6"/>
    <w:rsid w:val="10FB2E65"/>
    <w:rsid w:val="117D1BAF"/>
    <w:rsid w:val="122D1D4F"/>
    <w:rsid w:val="12A27BC8"/>
    <w:rsid w:val="13BF1AAB"/>
    <w:rsid w:val="13E652AC"/>
    <w:rsid w:val="13F10B06"/>
    <w:rsid w:val="151917CD"/>
    <w:rsid w:val="15C061CD"/>
    <w:rsid w:val="15FB6113"/>
    <w:rsid w:val="161575E3"/>
    <w:rsid w:val="16880CA1"/>
    <w:rsid w:val="17EA0799"/>
    <w:rsid w:val="1973731A"/>
    <w:rsid w:val="198402D3"/>
    <w:rsid w:val="1A9C24C3"/>
    <w:rsid w:val="1E211A04"/>
    <w:rsid w:val="20055A61"/>
    <w:rsid w:val="20750941"/>
    <w:rsid w:val="21844D29"/>
    <w:rsid w:val="2358717F"/>
    <w:rsid w:val="25946B6A"/>
    <w:rsid w:val="29074197"/>
    <w:rsid w:val="2A5C7904"/>
    <w:rsid w:val="2C956AFD"/>
    <w:rsid w:val="2D4D67B4"/>
    <w:rsid w:val="2DD028AF"/>
    <w:rsid w:val="2F061501"/>
    <w:rsid w:val="2F6545CD"/>
    <w:rsid w:val="30007C70"/>
    <w:rsid w:val="30FC05F3"/>
    <w:rsid w:val="30FE31FE"/>
    <w:rsid w:val="336453D2"/>
    <w:rsid w:val="35DD4306"/>
    <w:rsid w:val="372B0BDD"/>
    <w:rsid w:val="384F1DD8"/>
    <w:rsid w:val="39C93395"/>
    <w:rsid w:val="3C4D5150"/>
    <w:rsid w:val="3D0E3E15"/>
    <w:rsid w:val="3D802002"/>
    <w:rsid w:val="3D833920"/>
    <w:rsid w:val="3EB178FD"/>
    <w:rsid w:val="4046233C"/>
    <w:rsid w:val="424D6521"/>
    <w:rsid w:val="43836FD7"/>
    <w:rsid w:val="43D938DF"/>
    <w:rsid w:val="442A69AB"/>
    <w:rsid w:val="44642B0E"/>
    <w:rsid w:val="44B55E4A"/>
    <w:rsid w:val="45B45B5C"/>
    <w:rsid w:val="45DC5A9E"/>
    <w:rsid w:val="464B304E"/>
    <w:rsid w:val="46DF5E8C"/>
    <w:rsid w:val="47ED117B"/>
    <w:rsid w:val="48142B56"/>
    <w:rsid w:val="4A4B6D70"/>
    <w:rsid w:val="4ADF1249"/>
    <w:rsid w:val="4BBD02EB"/>
    <w:rsid w:val="4DE33BC1"/>
    <w:rsid w:val="4F3A7B45"/>
    <w:rsid w:val="4F9E6FA7"/>
    <w:rsid w:val="51614252"/>
    <w:rsid w:val="51AA1FEC"/>
    <w:rsid w:val="526A5052"/>
    <w:rsid w:val="52DF545C"/>
    <w:rsid w:val="56E51233"/>
    <w:rsid w:val="577B7214"/>
    <w:rsid w:val="57C4498A"/>
    <w:rsid w:val="57E0083D"/>
    <w:rsid w:val="584F162A"/>
    <w:rsid w:val="591D542F"/>
    <w:rsid w:val="5A97705C"/>
    <w:rsid w:val="5AEC4240"/>
    <w:rsid w:val="5CCB24FD"/>
    <w:rsid w:val="5D3A4FCC"/>
    <w:rsid w:val="5E5926E1"/>
    <w:rsid w:val="5ED764CE"/>
    <w:rsid w:val="5FA5307D"/>
    <w:rsid w:val="5FD870D9"/>
    <w:rsid w:val="60253531"/>
    <w:rsid w:val="6057546E"/>
    <w:rsid w:val="64CB3CC7"/>
    <w:rsid w:val="65D02656"/>
    <w:rsid w:val="6782045F"/>
    <w:rsid w:val="67D45A34"/>
    <w:rsid w:val="69657D6E"/>
    <w:rsid w:val="69B74A31"/>
    <w:rsid w:val="6A93651E"/>
    <w:rsid w:val="6B7B441A"/>
    <w:rsid w:val="6BB10D66"/>
    <w:rsid w:val="6DD9067E"/>
    <w:rsid w:val="6E247CA1"/>
    <w:rsid w:val="6FDF4A21"/>
    <w:rsid w:val="7028275B"/>
    <w:rsid w:val="70D7578D"/>
    <w:rsid w:val="712F0128"/>
    <w:rsid w:val="719959AD"/>
    <w:rsid w:val="735663E8"/>
    <w:rsid w:val="748C4F73"/>
    <w:rsid w:val="75282C11"/>
    <w:rsid w:val="767623E4"/>
    <w:rsid w:val="76D20382"/>
    <w:rsid w:val="77540FB0"/>
    <w:rsid w:val="77BC69FC"/>
    <w:rsid w:val="788D589D"/>
    <w:rsid w:val="7A4D1FDC"/>
    <w:rsid w:val="7AA718BA"/>
    <w:rsid w:val="7AAB6D45"/>
    <w:rsid w:val="7C814179"/>
    <w:rsid w:val="7C83705F"/>
    <w:rsid w:val="9FFDC37E"/>
    <w:rsid w:val="F3FBB655"/>
    <w:rsid w:val="FBF5B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20"/>
    <w:rPr>
      <w:b/>
      <w:w w:val="100"/>
      <w:sz w:val="21"/>
      <w:szCs w:val="21"/>
      <w:shd w:val="clear"/>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1330</Words>
  <Characters>1413</Characters>
  <Lines>22</Lines>
  <Paragraphs>6</Paragraphs>
  <TotalTime>22</TotalTime>
  <ScaleCrop>false</ScaleCrop>
  <LinksUpToDate>false</LinksUpToDate>
  <CharactersWithSpaces>1413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2022-01-25T19:08:00Z</dcterms:created>
  <dc:creator>尹 晨欣</dc:creator>
  <cp:lastModifiedBy>bgs</cp:lastModifiedBy>
  <cp:lastPrinted>2023-01-12T19:14:00Z</cp:lastPrinted>
  <dcterms:modified xsi:type="dcterms:W3CDTF">2025-01-23T03:36:05Z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E713725DD45E47F08D55592E3F26B917_13</vt:lpwstr>
  </property>
  <property fmtid="{D5CDD505-2E9C-101B-9397-08002B2CF9AE}" pid="4" name="KSOTemplateDocerSaveRecord">
    <vt:lpwstr>eyJoZGlkIjoiNWJhMDIxYjYwMTNlOTlhMTUxYmQ4NjlhOWZjMTU1NDMiLCJ1c2VySWQiOiIzMjgzODcyMDQifQ==</vt:lpwstr>
  </property>
</Properties>
</file>