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bidi w:val="0"/>
        <w:spacing w:line="560" w:lineRule="exact"/>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国家税务总局清镇市税务局</w:t>
      </w:r>
    </w:p>
    <w:p>
      <w:pPr>
        <w:keepNext w:val="0"/>
        <w:keepLines w:val="0"/>
        <w:pageBreakBefore w:val="0"/>
        <w:kinsoku/>
        <w:bidi w:val="0"/>
        <w:spacing w:line="560" w:lineRule="exact"/>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w:t>
      </w:r>
      <w:r>
        <w:rPr>
          <w:rFonts w:ascii="方正小标宋简体" w:hAnsi="方正小标宋简体" w:eastAsia="方正小标宋简体"/>
          <w:sz w:val="44"/>
          <w:szCs w:val="44"/>
        </w:rPr>
        <w:t>0</w:t>
      </w:r>
      <w:r>
        <w:rPr>
          <w:rFonts w:hint="eastAsia" w:ascii="方正小标宋简体" w:hAnsi="方正小标宋简体" w:eastAsia="方正小标宋简体"/>
          <w:sz w:val="44"/>
          <w:szCs w:val="44"/>
          <w:lang w:val="en-US" w:eastAsia="zh-CN"/>
        </w:rPr>
        <w:t>24</w:t>
      </w:r>
      <w:r>
        <w:rPr>
          <w:rFonts w:hint="eastAsia" w:ascii="方正小标宋简体" w:hAnsi="方正小标宋简体" w:eastAsia="方正小标宋简体"/>
          <w:sz w:val="44"/>
          <w:szCs w:val="44"/>
        </w:rPr>
        <w:t>年政府信息公开工作年度报告</w:t>
      </w:r>
    </w:p>
    <w:p>
      <w:pPr>
        <w:keepNext w:val="0"/>
        <w:keepLines w:val="0"/>
        <w:pageBreakBefore w:val="0"/>
        <w:kinsoku/>
        <w:bidi w:val="0"/>
        <w:spacing w:line="560" w:lineRule="exact"/>
        <w:textAlignment w:val="auto"/>
        <w:rPr>
          <w:rFonts w:ascii="仿宋" w:hAnsi="仿宋" w:eastAsia="仿宋"/>
          <w:sz w:val="32"/>
          <w:szCs w:val="32"/>
        </w:rPr>
      </w:pPr>
    </w:p>
    <w:p>
      <w:pPr>
        <w:keepNext w:val="0"/>
        <w:keepLines w:val="0"/>
        <w:pageBreakBefore w:val="0"/>
        <w:widowControl w:val="0"/>
        <w:kinsoku/>
        <w:wordWrap w:val="0"/>
        <w:overflowPunct/>
        <w:topLinePunct/>
        <w:autoSpaceDE/>
        <w:autoSpaceDN/>
        <w:bidi w:val="0"/>
        <w:adjustRightInd/>
        <w:snapToGrid/>
        <w:spacing w:line="560" w:lineRule="exact"/>
        <w:ind w:firstLine="656" w:firstLineChars="200"/>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lang w:eastAsia="zh-CN"/>
        </w:rPr>
        <w:t>本报告</w:t>
      </w:r>
      <w:r>
        <w:rPr>
          <w:rFonts w:hint="eastAsia" w:ascii="仿宋_GB2312" w:hAnsi="仿宋_GB2312" w:eastAsia="仿宋_GB2312" w:cs="仿宋_GB2312"/>
          <w:color w:val="000000"/>
          <w:spacing w:val="4"/>
          <w:sz w:val="32"/>
          <w:szCs w:val="32"/>
        </w:rPr>
        <w:t>根据《中华人民共和国政府信息公开条例》要求</w:t>
      </w:r>
      <w:r>
        <w:rPr>
          <w:rFonts w:hint="eastAsia" w:ascii="仿宋_GB2312" w:hAnsi="仿宋_GB2312" w:eastAsia="仿宋_GB2312" w:cs="仿宋_GB2312"/>
          <w:color w:val="000000"/>
          <w:spacing w:val="4"/>
          <w:sz w:val="32"/>
          <w:szCs w:val="32"/>
          <w:lang w:eastAsia="zh-CN"/>
        </w:rPr>
        <w:t>编制。</w:t>
      </w:r>
      <w:r>
        <w:rPr>
          <w:rFonts w:hint="eastAsia" w:ascii="仿宋_GB2312" w:hAnsi="仿宋_GB2312" w:eastAsia="仿宋_GB2312" w:cs="仿宋_GB2312"/>
          <w:color w:val="000000"/>
          <w:spacing w:val="4"/>
          <w:sz w:val="32"/>
          <w:szCs w:val="32"/>
        </w:rPr>
        <w:t>全文包括总体情况、主动公开政府信息情况、收到和处理政府信息公开申请情况、政府信息公开行政复议和行政诉讼情况、存在的主要问题及改进情况、其他需要报告的事项六个部分。报告中所列数据为国家税务</w:t>
      </w:r>
      <w:r>
        <w:rPr>
          <w:rFonts w:hint="eastAsia" w:ascii="仿宋_GB2312" w:hAnsi="仿宋_GB2312" w:eastAsia="仿宋_GB2312" w:cs="仿宋_GB2312"/>
          <w:spacing w:val="4"/>
          <w:sz w:val="32"/>
          <w:szCs w:val="32"/>
        </w:rPr>
        <w:t>总局清镇市税务局的</w:t>
      </w:r>
      <w:r>
        <w:rPr>
          <w:rFonts w:hint="eastAsia" w:ascii="仿宋_GB2312" w:hAnsi="仿宋_GB2312" w:eastAsia="仿宋_GB2312" w:cs="仿宋_GB2312"/>
          <w:spacing w:val="4"/>
          <w:sz w:val="32"/>
          <w:szCs w:val="32"/>
          <w:lang w:val="en-US" w:eastAsia="zh-CN"/>
        </w:rPr>
        <w:t>2024</w:t>
      </w:r>
      <w:r>
        <w:rPr>
          <w:rFonts w:hint="eastAsia" w:ascii="仿宋_GB2312" w:hAnsi="仿宋_GB2312" w:eastAsia="仿宋_GB2312" w:cs="仿宋_GB2312"/>
          <w:spacing w:val="4"/>
          <w:sz w:val="32"/>
          <w:szCs w:val="32"/>
        </w:rPr>
        <w:t>年整年数据，统计期限自</w:t>
      </w:r>
      <w:r>
        <w:rPr>
          <w:rFonts w:hint="eastAsia" w:ascii="仿宋_GB2312" w:hAnsi="仿宋_GB2312" w:eastAsia="仿宋_GB2312" w:cs="仿宋_GB2312"/>
          <w:spacing w:val="4"/>
          <w:sz w:val="32"/>
          <w:szCs w:val="32"/>
          <w:lang w:val="en-US" w:eastAsia="zh-CN"/>
        </w:rPr>
        <w:t>2024</w:t>
      </w:r>
      <w:r>
        <w:rPr>
          <w:rFonts w:hint="eastAsia" w:ascii="仿宋_GB2312" w:hAnsi="仿宋_GB2312" w:eastAsia="仿宋_GB2312" w:cs="仿宋_GB2312"/>
          <w:spacing w:val="4"/>
          <w:sz w:val="32"/>
          <w:szCs w:val="32"/>
        </w:rPr>
        <w:t>年1月1日起至</w:t>
      </w:r>
      <w:r>
        <w:rPr>
          <w:rFonts w:hint="eastAsia" w:ascii="仿宋_GB2312" w:hAnsi="仿宋_GB2312" w:eastAsia="仿宋_GB2312" w:cs="仿宋_GB2312"/>
          <w:spacing w:val="4"/>
          <w:sz w:val="32"/>
          <w:szCs w:val="32"/>
          <w:lang w:val="en-US" w:eastAsia="zh-CN"/>
        </w:rPr>
        <w:t>2024</w:t>
      </w:r>
      <w:r>
        <w:rPr>
          <w:rFonts w:hint="eastAsia" w:ascii="仿宋_GB2312" w:hAnsi="仿宋_GB2312" w:eastAsia="仿宋_GB2312" w:cs="仿宋_GB2312"/>
          <w:spacing w:val="4"/>
          <w:sz w:val="32"/>
          <w:szCs w:val="32"/>
        </w:rPr>
        <w:t>年12月31日止。</w:t>
      </w:r>
      <w:r>
        <w:rPr>
          <w:rFonts w:hint="eastAsia" w:ascii="仿宋_GB2312" w:hAnsi="仿宋_GB2312" w:eastAsia="仿宋_GB2312" w:cs="仿宋_GB2312"/>
          <w:color w:val="000000"/>
          <w:spacing w:val="4"/>
          <w:sz w:val="32"/>
          <w:szCs w:val="32"/>
        </w:rPr>
        <w:t>报告电子版可在</w:t>
      </w:r>
      <w:r>
        <w:rPr>
          <w:rFonts w:hint="eastAsia" w:ascii="仿宋_GB2312" w:hAnsi="仿宋_GB2312" w:eastAsia="仿宋_GB2312" w:cs="仿宋_GB2312"/>
          <w:spacing w:val="4"/>
          <w:sz w:val="32"/>
          <w:szCs w:val="32"/>
        </w:rPr>
        <w:t>国家税务总局贵州省税务局网站（http</w:t>
      </w:r>
      <w:r>
        <w:rPr>
          <w:rFonts w:hint="eastAsia" w:ascii="仿宋_GB2312" w:hAnsi="仿宋_GB2312" w:eastAsia="仿宋_GB2312" w:cs="仿宋_GB2312"/>
          <w:spacing w:val="4"/>
          <w:sz w:val="32"/>
          <w:szCs w:val="32"/>
          <w:lang w:val="en-US" w:eastAsia="zh-CN"/>
        </w:rPr>
        <w:t>s</w:t>
      </w:r>
      <w:r>
        <w:rPr>
          <w:rFonts w:hint="eastAsia" w:ascii="仿宋_GB2312" w:hAnsi="仿宋_GB2312" w:eastAsia="仿宋_GB2312" w:cs="仿宋_GB2312"/>
          <w:spacing w:val="4"/>
          <w:sz w:val="32"/>
          <w:szCs w:val="32"/>
        </w:rPr>
        <w:t>://guizhou.chinatax.gov.cn/）</w:t>
      </w:r>
      <w:r>
        <w:rPr>
          <w:rFonts w:hint="eastAsia" w:ascii="仿宋_GB2312" w:hAnsi="仿宋_GB2312" w:eastAsia="仿宋_GB2312" w:cs="仿宋_GB2312"/>
          <w:color w:val="000000"/>
          <w:spacing w:val="4"/>
          <w:sz w:val="32"/>
          <w:szCs w:val="32"/>
        </w:rPr>
        <w:t>查阅。如有疑问请致电国家税务总局清镇市税务局（联系电话：0851-</w:t>
      </w:r>
      <w:r>
        <w:rPr>
          <w:rFonts w:hint="eastAsia" w:ascii="仿宋_GB2312" w:hAnsi="仿宋_GB2312" w:eastAsia="仿宋_GB2312" w:cs="仿宋_GB2312"/>
          <w:color w:val="000000"/>
          <w:spacing w:val="4"/>
          <w:sz w:val="32"/>
          <w:szCs w:val="32"/>
          <w:lang w:val="en-US" w:eastAsia="zh-CN"/>
        </w:rPr>
        <w:t>82522549</w:t>
      </w:r>
      <w:r>
        <w:rPr>
          <w:rFonts w:hint="eastAsia" w:ascii="仿宋_GB2312" w:hAnsi="仿宋_GB2312" w:eastAsia="仿宋_GB2312" w:cs="仿宋_GB2312"/>
          <w:color w:val="000000"/>
          <w:spacing w:val="4"/>
          <w:sz w:val="32"/>
          <w:szCs w:val="32"/>
        </w:rPr>
        <w:t>），竭诚欢迎您的关注支持和批评监督！</w:t>
      </w:r>
    </w:p>
    <w:p>
      <w:pPr>
        <w:keepNext w:val="0"/>
        <w:keepLines w:val="0"/>
        <w:pageBreakBefore w:val="0"/>
        <w:widowControl w:val="0"/>
        <w:kinsoku/>
        <w:overflowPunct/>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一、总体情况</w:t>
      </w:r>
    </w:p>
    <w:p>
      <w:pPr>
        <w:keepNext w:val="0"/>
        <w:keepLines w:val="0"/>
        <w:pageBreakBefore w:val="0"/>
        <w:widowControl w:val="0"/>
        <w:kinsoku/>
        <w:overflowPunct/>
        <w:autoSpaceDE/>
        <w:autoSpaceDN/>
        <w:bidi w:val="0"/>
        <w:adjustRightInd/>
        <w:snapToGrid/>
        <w:spacing w:line="560" w:lineRule="exact"/>
        <w:ind w:firstLine="64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年，国家税务总局清镇市税务局（以下简称“清镇市税务局”）</w:t>
      </w:r>
      <w:r>
        <w:rPr>
          <w:rFonts w:hint="eastAsia" w:ascii="仿宋_GB2312" w:hAnsi="仿宋_GB2312" w:eastAsia="仿宋_GB2312" w:cs="仿宋_GB2312"/>
          <w:sz w:val="32"/>
          <w:szCs w:val="32"/>
          <w:lang w:eastAsia="zh-CN"/>
        </w:rPr>
        <w:t>严格执行《条例》《规定》等工作要求，全面贯彻</w:t>
      </w:r>
      <w:r>
        <w:rPr>
          <w:rFonts w:hint="eastAsia" w:ascii="仿宋_GB2312" w:hAnsi="仿宋_GB2312" w:eastAsia="仿宋_GB2312" w:cs="仿宋_GB2312"/>
          <w:sz w:val="32"/>
          <w:szCs w:val="32"/>
        </w:rPr>
        <w:t>落</w:t>
      </w:r>
      <w:r>
        <w:rPr>
          <w:rFonts w:hint="eastAsia" w:ascii="仿宋_GB2312" w:hAnsi="仿宋_GB2312" w:eastAsia="仿宋_GB2312" w:cs="仿宋_GB2312"/>
          <w:sz w:val="32"/>
          <w:szCs w:val="32"/>
          <w:lang w:eastAsia="zh-CN"/>
        </w:rPr>
        <w:t>实总局、省局、</w:t>
      </w:r>
      <w:r>
        <w:rPr>
          <w:rFonts w:hint="eastAsia" w:ascii="仿宋_GB2312" w:hAnsi="仿宋_GB2312" w:eastAsia="仿宋_GB2312" w:cs="仿宋_GB2312"/>
          <w:sz w:val="32"/>
          <w:szCs w:val="32"/>
        </w:rPr>
        <w:t>市局和市</w:t>
      </w:r>
      <w:r>
        <w:rPr>
          <w:rFonts w:hint="eastAsia" w:ascii="仿宋_GB2312" w:hAnsi="仿宋_GB2312" w:eastAsia="仿宋_GB2312" w:cs="仿宋_GB2312"/>
          <w:sz w:val="32"/>
          <w:szCs w:val="32"/>
          <w:lang w:eastAsia="zh-CN"/>
        </w:rPr>
        <w:t>委市</w:t>
      </w:r>
      <w:r>
        <w:rPr>
          <w:rFonts w:hint="eastAsia" w:ascii="仿宋_GB2312" w:hAnsi="仿宋_GB2312" w:eastAsia="仿宋_GB2312" w:cs="仿宋_GB2312"/>
          <w:sz w:val="32"/>
          <w:szCs w:val="32"/>
        </w:rPr>
        <w:t>政府关于政务公开的工作部署，坚持把公开透明作为税收工作的基本制度，紧紧围绕经济社会发展和人民群众关注</w:t>
      </w:r>
      <w:r>
        <w:rPr>
          <w:rFonts w:hint="eastAsia" w:ascii="仿宋_GB2312" w:hAnsi="仿宋_GB2312" w:eastAsia="仿宋_GB2312" w:cs="仿宋_GB2312"/>
          <w:sz w:val="32"/>
          <w:szCs w:val="32"/>
          <w:highlight w:val="none"/>
        </w:rPr>
        <w:t>关切，</w:t>
      </w:r>
      <w:r>
        <w:rPr>
          <w:rFonts w:hint="eastAsia" w:ascii="仿宋_GB2312" w:hAnsi="仿宋_GB2312" w:eastAsia="仿宋_GB2312" w:cs="仿宋_GB2312"/>
          <w:sz w:val="32"/>
          <w:szCs w:val="32"/>
          <w:highlight w:val="none"/>
          <w:lang w:eastAsia="zh-CN"/>
        </w:rPr>
        <w:t>不断完善政府信息公开制度，持续提升主动公开力度，进一步做好依申请公开，持续加强政府信息管理，丰富政府信息公开平台建设，着力强化监督保障，有力保</w:t>
      </w:r>
      <w:r>
        <w:rPr>
          <w:rFonts w:hint="eastAsia" w:ascii="仿宋_GB2312" w:hAnsi="仿宋_GB2312" w:eastAsia="仿宋_GB2312" w:cs="仿宋_GB2312"/>
          <w:sz w:val="32"/>
          <w:szCs w:val="32"/>
          <w:highlight w:val="none"/>
        </w:rPr>
        <w:t>障人民群众知情权、参与权、表达权和监督权</w:t>
      </w:r>
      <w:r>
        <w:rPr>
          <w:rFonts w:hint="eastAsia" w:ascii="仿宋_GB2312" w:hAnsi="仿宋_GB2312" w:eastAsia="仿宋_GB2312" w:cs="仿宋_GB2312"/>
          <w:sz w:val="32"/>
          <w:szCs w:val="32"/>
          <w:highlight w:val="none"/>
          <w:lang w:eastAsia="zh-CN"/>
        </w:rPr>
        <w:t>，不断优化营商环境，持续提升纳税人缴费人满意度。</w:t>
      </w:r>
    </w:p>
    <w:p>
      <w:pPr>
        <w:numPr>
          <w:ilvl w:val="0"/>
          <w:numId w:val="0"/>
        </w:numPr>
        <w:spacing w:line="60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主动公开</w:t>
      </w:r>
    </w:p>
    <w:p>
      <w:pPr>
        <w:keepNext w:val="0"/>
        <w:keepLines w:val="0"/>
        <w:pageBreakBefore w:val="0"/>
        <w:widowControl w:val="0"/>
        <w:kinsoku/>
        <w:overflowPunct/>
        <w:autoSpaceDE/>
        <w:autoSpaceDN/>
        <w:bidi w:val="0"/>
        <w:adjustRightInd/>
        <w:snapToGrid/>
        <w:spacing w:line="560" w:lineRule="exact"/>
        <w:ind w:firstLine="66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年，清镇</w:t>
      </w:r>
      <w:r>
        <w:rPr>
          <w:rFonts w:hint="eastAsia" w:ascii="仿宋_GB2312" w:hAnsi="仿宋_GB2312" w:eastAsia="仿宋_GB2312" w:cs="仿宋_GB2312"/>
          <w:kern w:val="0"/>
          <w:sz w:val="32"/>
          <w:szCs w:val="32"/>
        </w:rPr>
        <w:t>市税务局按照</w:t>
      </w:r>
      <w:r>
        <w:rPr>
          <w:rFonts w:hint="eastAsia" w:ascii="仿宋_GB2312" w:hAnsi="仿宋_GB2312" w:eastAsia="仿宋_GB2312" w:cs="仿宋_GB2312"/>
          <w:color w:val="000000" w:themeColor="text1"/>
          <w:kern w:val="0"/>
          <w:sz w:val="32"/>
          <w:szCs w:val="32"/>
          <w14:textFill>
            <w14:solidFill>
              <w14:schemeClr w14:val="tx1"/>
            </w14:solidFill>
          </w14:textFill>
        </w:rPr>
        <w:t>《条例》</w:t>
      </w:r>
      <w:r>
        <w:rPr>
          <w:rFonts w:hint="eastAsia" w:ascii="仿宋_GB2312" w:hAnsi="仿宋_GB2312" w:eastAsia="仿宋_GB2312" w:cs="仿宋_GB2312"/>
          <w:kern w:val="0"/>
          <w:sz w:val="32"/>
          <w:szCs w:val="32"/>
        </w:rPr>
        <w:t>规定，</w:t>
      </w:r>
      <w:r>
        <w:rPr>
          <w:rFonts w:hint="eastAsia" w:ascii="仿宋_GB2312" w:hAnsi="仿宋_GB2312" w:eastAsia="仿宋_GB2312" w:cs="仿宋_GB2312"/>
          <w:kern w:val="0"/>
          <w:sz w:val="32"/>
          <w:szCs w:val="32"/>
          <w:lang w:eastAsia="zh-CN"/>
        </w:rPr>
        <w:t>坚持“</w:t>
      </w:r>
      <w:r>
        <w:rPr>
          <w:rFonts w:hint="eastAsia" w:ascii="仿宋_GB2312" w:hAnsi="仿宋_GB2312" w:eastAsia="仿宋_GB2312" w:cs="仿宋_GB2312"/>
          <w:kern w:val="0"/>
          <w:sz w:val="32"/>
          <w:szCs w:val="32"/>
        </w:rPr>
        <w:t>公开为原则</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不公开为例外</w:t>
      </w:r>
      <w:r>
        <w:rPr>
          <w:rFonts w:hint="eastAsia" w:ascii="仿宋_GB2312" w:hAnsi="仿宋_GB2312" w:eastAsia="仿宋_GB2312" w:cs="仿宋_GB2312"/>
          <w:kern w:val="0"/>
          <w:sz w:val="32"/>
          <w:szCs w:val="32"/>
          <w:highlight w:val="none"/>
          <w:lang w:eastAsia="zh-CN"/>
        </w:rPr>
        <w:t>”，采取线上线下多渠道积极主动对外公开相关内容。线上通过政府门户网站、各级媒体平台等发布税费政策及工作动态，便利纳税人缴费人掌握税费优惠政策和办税缴费操作流程；线下通过召开政策培训会、办税服务厅展播等方式为纳税人缴费人现场解读税费政策，助力纳税人缴费人“知晓政策、用好政策”。清镇市税务局开展税收政策宣传培训直播课，2024年累计开展18期，惠及纳税人5489人次。</w:t>
      </w:r>
    </w:p>
    <w:p>
      <w:pPr>
        <w:numPr>
          <w:ilvl w:val="0"/>
          <w:numId w:val="0"/>
        </w:numPr>
        <w:spacing w:line="60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依申请公开</w:t>
      </w:r>
    </w:p>
    <w:p>
      <w:pPr>
        <w:keepNext w:val="0"/>
        <w:keepLines w:val="0"/>
        <w:pageBreakBefore w:val="0"/>
        <w:widowControl w:val="0"/>
        <w:kinsoku/>
        <w:overflowPunct/>
        <w:autoSpaceDE/>
        <w:autoSpaceDN/>
        <w:bidi w:val="0"/>
        <w:adjustRightInd/>
        <w:snapToGrid/>
        <w:spacing w:line="560" w:lineRule="exact"/>
        <w:ind w:firstLine="640"/>
        <w:textAlignment w:val="auto"/>
        <w:rPr>
          <w:rFonts w:hint="eastAsia" w:ascii="仿宋_GB2312" w:hAnsi="仿宋_GB2312" w:eastAsia="仿宋_GB2312" w:cs="仿宋_GB2312"/>
          <w:i/>
          <w:iCs/>
          <w:sz w:val="32"/>
          <w:szCs w:val="32"/>
        </w:rPr>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年，清镇</w:t>
      </w:r>
      <w:r>
        <w:rPr>
          <w:rFonts w:hint="eastAsia" w:ascii="仿宋_GB2312" w:hAnsi="仿宋_GB2312" w:eastAsia="仿宋_GB2312" w:cs="仿宋_GB2312"/>
          <w:kern w:val="0"/>
          <w:sz w:val="32"/>
          <w:szCs w:val="32"/>
        </w:rPr>
        <w:t>市税务局</w:t>
      </w:r>
      <w:r>
        <w:rPr>
          <w:rFonts w:hint="eastAsia" w:ascii="仿宋_GB2312" w:hAnsi="仿宋_GB2312" w:eastAsia="仿宋_GB2312" w:cs="仿宋_GB2312"/>
          <w:kern w:val="0"/>
          <w:sz w:val="32"/>
          <w:szCs w:val="32"/>
          <w:lang w:eastAsia="zh-CN"/>
        </w:rPr>
        <w:t>严格按照政府信息公开工作的规定要求，不断提升依申请公开规范化水平，</w:t>
      </w:r>
      <w:r>
        <w:rPr>
          <w:rFonts w:hint="eastAsia" w:ascii="仿宋_GB2312" w:hAnsi="仿宋_GB2312" w:eastAsia="仿宋_GB2312" w:cs="仿宋_GB2312"/>
          <w:kern w:val="0"/>
          <w:sz w:val="32"/>
          <w:szCs w:val="32"/>
          <w:lang w:val="en-US" w:eastAsia="zh-CN"/>
        </w:rPr>
        <w:t>2024年清镇市税务局接到1次信息公开申请事项，已按照法定程序和权限办理。</w:t>
      </w:r>
    </w:p>
    <w:p>
      <w:pPr>
        <w:numPr>
          <w:ilvl w:val="0"/>
          <w:numId w:val="0"/>
        </w:numPr>
        <w:spacing w:line="60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政府信息管理</w:t>
      </w:r>
    </w:p>
    <w:p>
      <w:pPr>
        <w:keepNext w:val="0"/>
        <w:keepLines w:val="0"/>
        <w:pageBreakBefore w:val="0"/>
        <w:widowControl w:val="0"/>
        <w:kinsoku/>
        <w:overflowPunct/>
        <w:autoSpaceDE/>
        <w:autoSpaceDN/>
        <w:bidi w:val="0"/>
        <w:adjustRightInd/>
        <w:snapToGrid/>
        <w:spacing w:line="560" w:lineRule="exact"/>
        <w:ind w:firstLine="66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2024年，</w:t>
      </w:r>
      <w:r>
        <w:rPr>
          <w:rFonts w:hint="eastAsia" w:ascii="仿宋_GB2312" w:hAnsi="仿宋_GB2312" w:eastAsia="仿宋_GB2312" w:cs="仿宋_GB2312"/>
          <w:sz w:val="32"/>
          <w:szCs w:val="32"/>
          <w:highlight w:val="none"/>
          <w:lang w:eastAsia="zh-CN"/>
        </w:rPr>
        <w:t>清镇市税务局持续加大信息发布审核力度，在信息发布方面严格把关，发布的信息主要为上级部门网站公开发布的信息，其他转发信息按照要求落实三级审批制度，不断规范政府信息公开操作流程，在保障信息安全的同时，确保信息得以及时、有效地公开。</w:t>
      </w:r>
    </w:p>
    <w:p>
      <w:pPr>
        <w:numPr>
          <w:ilvl w:val="0"/>
          <w:numId w:val="0"/>
        </w:numPr>
        <w:spacing w:line="60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（四）</w:t>
      </w:r>
      <w:r>
        <w:rPr>
          <w:rFonts w:hint="eastAsia" w:ascii="楷体_GB2312" w:hAnsi="楷体_GB2312" w:eastAsia="楷体_GB2312" w:cs="楷体_GB2312"/>
          <w:sz w:val="32"/>
          <w:szCs w:val="32"/>
          <w:lang w:eastAsia="zh-CN"/>
        </w:rPr>
        <w:t>政府信息公开平台建设</w:t>
      </w:r>
    </w:p>
    <w:p>
      <w:pPr>
        <w:keepNext w:val="0"/>
        <w:keepLines w:val="0"/>
        <w:pageBreakBefore w:val="0"/>
        <w:widowControl w:val="0"/>
        <w:kinsoku/>
        <w:overflowPunct/>
        <w:autoSpaceDE/>
        <w:autoSpaceDN/>
        <w:bidi w:val="0"/>
        <w:adjustRightInd/>
        <w:snapToGrid/>
        <w:spacing w:line="560" w:lineRule="exact"/>
        <w:ind w:firstLine="66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清镇市税务局对外公开信息的平台主要有政府门户网站和政务新媒体。政府门户网站是清镇市政府对外公开平台开设的板块，配专人负责日常更新和维护，加强信息公开栏目建设，强化网站管理责任落实，做好重点领域信息公开。</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kern w:val="0"/>
          <w:sz w:val="32"/>
          <w:szCs w:val="32"/>
          <w:highlight w:val="none"/>
          <w:lang w:eastAsia="zh-CN"/>
        </w:rPr>
        <w:t>在清镇市人民政府官网公开税收信息</w:t>
      </w:r>
      <w:r>
        <w:rPr>
          <w:rFonts w:hint="eastAsia" w:ascii="仿宋_GB2312" w:hAnsi="仿宋_GB2312" w:eastAsia="仿宋_GB2312" w:cs="仿宋_GB2312"/>
          <w:kern w:val="0"/>
          <w:sz w:val="32"/>
          <w:szCs w:val="32"/>
          <w:highlight w:val="none"/>
          <w:lang w:val="en-US" w:eastAsia="zh-CN"/>
        </w:rPr>
        <w:t>28</w:t>
      </w:r>
      <w:r>
        <w:rPr>
          <w:rFonts w:hint="eastAsia" w:ascii="仿宋_GB2312" w:hAnsi="仿宋_GB2312" w:eastAsia="仿宋_GB2312" w:cs="仿宋_GB2312"/>
          <w:kern w:val="0"/>
          <w:sz w:val="32"/>
          <w:szCs w:val="32"/>
          <w:highlight w:val="none"/>
          <w:lang w:eastAsia="zh-CN"/>
        </w:rPr>
        <w:t>条。</w:t>
      </w:r>
      <w:r>
        <w:rPr>
          <w:rFonts w:hint="eastAsia" w:ascii="仿宋_GB2312" w:hAnsi="仿宋_GB2312" w:eastAsia="仿宋_GB2312" w:cs="仿宋_GB2312"/>
          <w:sz w:val="32"/>
          <w:szCs w:val="32"/>
          <w:highlight w:val="none"/>
          <w:lang w:eastAsia="zh-CN"/>
        </w:rPr>
        <w:t>政务新媒体主要包括税务系统微信公众号、微观清镇、贵阳网、甲秀新闻、动静贵州等平</w:t>
      </w:r>
      <w:r>
        <w:rPr>
          <w:rFonts w:hint="eastAsia" w:ascii="仿宋_GB2312" w:hAnsi="仿宋_GB2312" w:eastAsia="仿宋_GB2312" w:cs="仿宋_GB2312"/>
          <w:sz w:val="32"/>
          <w:szCs w:val="32"/>
          <w:lang w:eastAsia="zh-CN"/>
        </w:rPr>
        <w:t>台</w:t>
      </w:r>
      <w:r>
        <w:rPr>
          <w:rFonts w:hint="eastAsia" w:ascii="仿宋_GB2312" w:hAnsi="仿宋_GB2312" w:eastAsia="仿宋_GB2312" w:cs="仿宋_GB2312"/>
          <w:sz w:val="32"/>
          <w:szCs w:val="32"/>
          <w:highlight w:val="none"/>
          <w:lang w:eastAsia="zh-CN"/>
        </w:rPr>
        <w:t>，清镇市税务局通过以上平台，推送税费政策解读、日常工作动态等信息，及时回应纳税人缴费人，有效提升政府信息公开整体质效。</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lang w:eastAsia="zh-CN"/>
        </w:rPr>
        <w:t>年，在各级媒体平台发表税收宣传稿件</w:t>
      </w:r>
      <w:r>
        <w:rPr>
          <w:rFonts w:hint="eastAsia" w:ascii="仿宋_GB2312" w:hAnsi="仿宋_GB2312" w:eastAsia="仿宋_GB2312" w:cs="仿宋_GB2312"/>
          <w:sz w:val="32"/>
          <w:szCs w:val="32"/>
          <w:highlight w:val="none"/>
          <w:lang w:val="en-US" w:eastAsia="zh-CN"/>
        </w:rPr>
        <w:t>83</w:t>
      </w:r>
      <w:r>
        <w:rPr>
          <w:rFonts w:hint="eastAsia" w:ascii="仿宋_GB2312" w:hAnsi="仿宋_GB2312" w:eastAsia="仿宋_GB2312" w:cs="仿宋_GB2312"/>
          <w:sz w:val="32"/>
          <w:szCs w:val="32"/>
          <w:highlight w:val="none"/>
          <w:lang w:eastAsia="zh-CN"/>
        </w:rPr>
        <w:t>篇。</w:t>
      </w:r>
    </w:p>
    <w:p>
      <w:pPr>
        <w:numPr>
          <w:ilvl w:val="0"/>
          <w:numId w:val="0"/>
        </w:numPr>
        <w:spacing w:line="60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（五）监督保障</w:t>
      </w:r>
    </w:p>
    <w:p>
      <w:pPr>
        <w:keepNext w:val="0"/>
        <w:keepLines w:val="0"/>
        <w:pageBreakBefore w:val="0"/>
        <w:widowControl w:val="0"/>
        <w:kinsoku/>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w:t>
      </w:r>
      <w:r>
        <w:rPr>
          <w:rFonts w:hint="eastAsia" w:ascii="仿宋_GB2312" w:hAnsi="仿宋_GB2312" w:eastAsia="仿宋_GB2312" w:cs="仿宋_GB2312"/>
          <w:sz w:val="32"/>
          <w:szCs w:val="32"/>
          <w:highlight w:val="none"/>
          <w:lang w:eastAsia="zh-CN"/>
        </w:rPr>
        <w:t>清镇市税务局不断健全政府信息发布保密审查制度，明确审查程序和责任，明确专人负责政府信息公开的日常工作，督促责任部门及时更新政府信息，并对发布的政府信息进行审核把关，加强政府信息公开工作的常态化监督。</w:t>
      </w:r>
    </w:p>
    <w:p>
      <w:pPr>
        <w:keepNext w:val="0"/>
        <w:keepLines w:val="0"/>
        <w:pageBreakBefore w:val="0"/>
        <w:numPr>
          <w:ilvl w:val="0"/>
          <w:numId w:val="1"/>
        </w:numPr>
        <w:kinsoku/>
        <w:bidi w:val="0"/>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主动公开政府信息情况</w:t>
      </w:r>
    </w:p>
    <w:tbl>
      <w:tblPr>
        <w:tblStyle w:val="4"/>
        <w:tblW w:w="9740" w:type="dxa"/>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ascii="宋体" w:hAnsi="宋体" w:cs="宋体"/>
                <w:color w:val="auto"/>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ascii="宋体" w:hAnsi="宋体" w:cs="宋体"/>
                <w:color w:val="auto"/>
                <w:kern w:val="0"/>
                <w:sz w:val="20"/>
                <w:szCs w:val="20"/>
              </w:rPr>
              <w:t>信息内容</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ascii="宋体" w:hAnsi="宋体" w:cs="宋体"/>
                <w:color w:val="auto"/>
                <w:kern w:val="0"/>
                <w:sz w:val="20"/>
                <w:szCs w:val="20"/>
              </w:rPr>
              <w:t>本年</w:t>
            </w:r>
            <w:r>
              <w:rPr>
                <w:rFonts w:ascii="宋体" w:hAnsi="宋体" w:cs="宋体"/>
                <w:color w:val="auto"/>
                <w:kern w:val="0"/>
                <w:sz w:val="20"/>
                <w:szCs w:val="20"/>
              </w:rPr>
              <w:t>制</w:t>
            </w:r>
            <w:r>
              <w:rPr>
                <w:rFonts w:hint="eastAsia" w:ascii="宋体" w:hAnsi="宋体" w:cs="宋体"/>
                <w:color w:val="auto"/>
                <w:kern w:val="0"/>
                <w:sz w:val="20"/>
                <w:szCs w:val="20"/>
              </w:rPr>
              <w:t>发件</w:t>
            </w:r>
            <w:r>
              <w:rPr>
                <w:rFonts w:ascii="宋体" w:hAnsi="宋体" w:cs="宋体"/>
                <w:color w:val="auto"/>
                <w:kern w:val="0"/>
                <w:sz w:val="20"/>
                <w:szCs w:val="20"/>
              </w:rPr>
              <w:t>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ascii="宋体" w:hAnsi="宋体" w:cs="宋体"/>
                <w:color w:val="auto"/>
                <w:kern w:val="0"/>
                <w:sz w:val="20"/>
                <w:szCs w:val="20"/>
              </w:rPr>
              <w:t>本年废止件数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ascii="宋体" w:hAnsi="宋体" w:cs="宋体"/>
                <w:color w:val="auto"/>
                <w:kern w:val="0"/>
                <w:sz w:val="20"/>
                <w:szCs w:val="20"/>
              </w:rPr>
              <w:t>现行有效件</w:t>
            </w:r>
            <w:r>
              <w:rPr>
                <w:rFonts w:ascii="宋体" w:hAnsi="宋体" w:cs="宋体"/>
                <w:color w:val="auto"/>
                <w:kern w:val="0"/>
                <w:sz w:val="20"/>
                <w:szCs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color w:val="auto"/>
                <w:kern w:val="0"/>
                <w:sz w:val="24"/>
                <w:szCs w:val="24"/>
              </w:rPr>
            </w:pPr>
            <w:r>
              <w:rPr>
                <w:rFonts w:hint="eastAsia" w:ascii="宋体" w:hAnsi="宋体" w:cs="宋体"/>
                <w:color w:val="auto"/>
                <w:kern w:val="0"/>
                <w:sz w:val="20"/>
                <w:szCs w:val="20"/>
              </w:rPr>
              <w:t>规章</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cs="宋体"/>
                <w:color w:val="000000" w:themeColor="text1"/>
                <w:kern w:val="0"/>
                <w:szCs w:val="21"/>
                <w:lang w:val="en-US" w:eastAsia="zh-CN"/>
                <w14:textFill>
                  <w14:solidFill>
                    <w14:schemeClr w14:val="tx1"/>
                  </w14:solidFill>
                </w14:textFill>
              </w:rPr>
            </w:pPr>
            <w:r>
              <w:rPr>
                <w:rFonts w:hint="eastAsia" w:cs="宋体"/>
                <w:color w:val="000000" w:themeColor="text1"/>
                <w:kern w:val="0"/>
                <w:szCs w:val="21"/>
                <w:lang w:val="en-US" w:eastAsia="zh-CN"/>
                <w14:textFill>
                  <w14:solidFill>
                    <w14:schemeClr w14:val="tx1"/>
                  </w14:solidFill>
                </w14:textFill>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cs="宋体"/>
                <w:color w:val="000000" w:themeColor="text1"/>
                <w:kern w:val="0"/>
                <w:szCs w:val="21"/>
                <w:lang w:val="en-US" w:eastAsia="zh-CN"/>
                <w14:textFill>
                  <w14:solidFill>
                    <w14:schemeClr w14:val="tx1"/>
                  </w14:solidFill>
                </w14:textFill>
              </w:rPr>
            </w:pPr>
            <w:r>
              <w:rPr>
                <w:rFonts w:hint="eastAsia" w:cs="宋体"/>
                <w:color w:val="000000" w:themeColor="text1"/>
                <w:kern w:val="0"/>
                <w:szCs w:val="21"/>
                <w:lang w:val="en-US" w:eastAsia="zh-CN"/>
                <w14:textFill>
                  <w14:solidFill>
                    <w14:schemeClr w14:val="tx1"/>
                  </w14:solidFill>
                </w14:textFill>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cs="宋体"/>
                <w:color w:val="000000" w:themeColor="text1"/>
                <w:kern w:val="0"/>
                <w:szCs w:val="21"/>
                <w:lang w:val="en-US" w:eastAsia="zh-CN"/>
                <w14:textFill>
                  <w14:solidFill>
                    <w14:schemeClr w14:val="tx1"/>
                  </w14:solidFill>
                </w14:textFill>
              </w:rPr>
            </w:pPr>
            <w:r>
              <w:rPr>
                <w:rFonts w:hint="eastAsia" w:cs="宋体"/>
                <w:color w:val="000000" w:themeColor="text1"/>
                <w:kern w:val="0"/>
                <w:szCs w:val="21"/>
                <w:lang w:val="en-US" w:eastAsia="zh-CN"/>
                <w14:textFill>
                  <w14:solidFill>
                    <w14:schemeClr w14:val="tx1"/>
                  </w14:solidFill>
                </w14:textFill>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color w:val="auto"/>
                <w:kern w:val="0"/>
                <w:sz w:val="24"/>
                <w:szCs w:val="24"/>
              </w:rPr>
            </w:pPr>
            <w:r>
              <w:rPr>
                <w:rFonts w:hint="eastAsia" w:ascii="宋体" w:hAnsi="宋体" w:cs="宋体"/>
                <w:color w:val="auto"/>
                <w:kern w:val="0"/>
                <w:sz w:val="20"/>
                <w:szCs w:val="20"/>
              </w:rPr>
              <w:t>行政规范性文件</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cs="宋体"/>
                <w:color w:val="000000" w:themeColor="text1"/>
                <w:kern w:val="0"/>
                <w:szCs w:val="21"/>
                <w:lang w:val="en-US" w:eastAsia="zh-CN"/>
                <w14:textFill>
                  <w14:solidFill>
                    <w14:schemeClr w14:val="tx1"/>
                  </w14:solidFill>
                </w14:textFill>
              </w:rPr>
            </w:pPr>
            <w:r>
              <w:rPr>
                <w:rFonts w:hint="eastAsia" w:cs="宋体"/>
                <w:color w:val="000000" w:themeColor="text1"/>
                <w:kern w:val="0"/>
                <w:szCs w:val="21"/>
                <w:lang w:val="en-US" w:eastAsia="zh-CN"/>
                <w14:textFill>
                  <w14:solidFill>
                    <w14:schemeClr w14:val="tx1"/>
                  </w14:solidFill>
                </w14:textFill>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cs="宋体"/>
                <w:color w:val="000000" w:themeColor="text1"/>
                <w:kern w:val="0"/>
                <w:szCs w:val="21"/>
                <w:lang w:val="en-US" w:eastAsia="zh-CN"/>
                <w14:textFill>
                  <w14:solidFill>
                    <w14:schemeClr w14:val="tx1"/>
                  </w14:solidFill>
                </w14:textFill>
              </w:rPr>
            </w:pPr>
            <w:r>
              <w:rPr>
                <w:rFonts w:hint="eastAsia" w:cs="宋体"/>
                <w:color w:val="000000" w:themeColor="text1"/>
                <w:kern w:val="0"/>
                <w:szCs w:val="21"/>
                <w:lang w:val="en-US" w:eastAsia="zh-CN"/>
                <w14:textFill>
                  <w14:solidFill>
                    <w14:schemeClr w14:val="tx1"/>
                  </w14:solidFill>
                </w14:textFill>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cs="宋体"/>
                <w:color w:val="000000" w:themeColor="text1"/>
                <w:kern w:val="0"/>
                <w:szCs w:val="21"/>
                <w:lang w:val="en-US" w:eastAsia="zh-CN"/>
                <w14:textFill>
                  <w14:solidFill>
                    <w14:schemeClr w14:val="tx1"/>
                  </w14:solidFill>
                </w14:textFill>
              </w:rPr>
            </w:pPr>
            <w:r>
              <w:rPr>
                <w:rFonts w:hint="eastAsia" w:cs="宋体"/>
                <w:color w:val="000000" w:themeColor="text1"/>
                <w:kern w:val="0"/>
                <w:szCs w:val="21"/>
                <w:lang w:val="en-US" w:eastAsia="zh-CN"/>
                <w14:textFill>
                  <w14:solidFill>
                    <w14:schemeClr w14:val="tx1"/>
                  </w14:solidFill>
                </w14:textFill>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ascii="宋体" w:hAnsi="宋体" w:cs="宋体"/>
                <w:color w:val="auto"/>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ascii="宋体" w:hAnsi="宋体" w:cs="宋体"/>
                <w:color w:val="auto"/>
                <w:kern w:val="0"/>
                <w:sz w:val="20"/>
                <w:szCs w:val="20"/>
              </w:rPr>
              <w:t>信息内容</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ascii="宋体" w:hAnsi="宋体" w:cs="宋体"/>
                <w:color w:val="auto"/>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color w:val="auto"/>
                <w:kern w:val="0"/>
                <w:sz w:val="24"/>
                <w:szCs w:val="24"/>
              </w:rPr>
            </w:pPr>
            <w:r>
              <w:rPr>
                <w:rFonts w:hint="eastAsia" w:ascii="宋体" w:hAnsi="宋体" w:cs="宋体"/>
                <w:color w:val="auto"/>
                <w:kern w:val="0"/>
                <w:sz w:val="20"/>
                <w:szCs w:val="20"/>
              </w:rPr>
              <w:t>行政许可</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auto"/>
                <w:kern w:val="0"/>
                <w:sz w:val="24"/>
                <w:szCs w:val="24"/>
                <w:lang w:val="en-US" w:eastAsia="zh-CN"/>
              </w:rPr>
            </w:pPr>
            <w:r>
              <w:rPr>
                <w:rFonts w:hint="eastAsia" w:cs="宋体"/>
                <w:color w:val="000000" w:themeColor="text1"/>
                <w:kern w:val="0"/>
                <w:szCs w:val="21"/>
                <w:lang w:val="en-US" w:eastAsia="zh-CN"/>
                <w14:textFill>
                  <w14:solidFill>
                    <w14:schemeClr w14:val="tx1"/>
                  </w14:solidFill>
                </w14:textFill>
              </w:rPr>
              <w:t>48</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ascii="宋体" w:hAnsi="宋体" w:cs="宋体"/>
                <w:color w:val="auto"/>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ascii="宋体" w:hAnsi="宋体" w:cs="宋体"/>
                <w:color w:val="auto"/>
                <w:kern w:val="0"/>
                <w:sz w:val="20"/>
                <w:szCs w:val="20"/>
              </w:rPr>
              <w:t>信息内容</w:t>
            </w:r>
          </w:p>
        </w:tc>
        <w:tc>
          <w:tcPr>
            <w:tcW w:w="7305" w:type="dxa"/>
            <w:gridSpan w:val="3"/>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ascii="宋体" w:hAnsi="宋体" w:cs="宋体"/>
                <w:color w:val="auto"/>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color w:val="auto"/>
                <w:kern w:val="0"/>
                <w:sz w:val="24"/>
                <w:szCs w:val="24"/>
              </w:rPr>
            </w:pPr>
            <w:r>
              <w:rPr>
                <w:rFonts w:hint="eastAsia" w:ascii="宋体" w:hAnsi="宋体" w:cs="宋体"/>
                <w:color w:val="auto"/>
                <w:kern w:val="0"/>
                <w:sz w:val="20"/>
                <w:szCs w:val="20"/>
              </w:rPr>
              <w:t>行政处罚</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4"/>
                <w:szCs w:val="24"/>
                <w:lang w:val="en-US" w:eastAsia="zh-CN"/>
              </w:rPr>
            </w:pPr>
            <w:r>
              <w:rPr>
                <w:rFonts w:hint="eastAsia" w:cs="宋体"/>
                <w:color w:val="000000" w:themeColor="text1"/>
                <w:kern w:val="0"/>
                <w:szCs w:val="21"/>
                <w:lang w:val="en-US" w:eastAsia="zh-CN"/>
                <w14:textFill>
                  <w14:solidFill>
                    <w14:schemeClr w14:val="tx1"/>
                  </w14:solidFill>
                </w14:textFill>
              </w:rPr>
              <w:t>1867</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color w:val="auto"/>
                <w:kern w:val="0"/>
                <w:sz w:val="24"/>
                <w:szCs w:val="24"/>
              </w:rPr>
            </w:pPr>
            <w:r>
              <w:rPr>
                <w:rFonts w:hint="eastAsia" w:ascii="宋体" w:hAnsi="宋体" w:cs="宋体"/>
                <w:color w:val="auto"/>
                <w:kern w:val="0"/>
                <w:sz w:val="20"/>
                <w:szCs w:val="20"/>
              </w:rPr>
              <w:t>行政强制</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eastAsia="zh-CN"/>
              </w:rPr>
            </w:pPr>
            <w:r>
              <w:rPr>
                <w:rFonts w:hint="eastAsia" w:cs="宋体"/>
                <w:color w:val="000000" w:themeColor="text1"/>
                <w:kern w:val="0"/>
                <w:szCs w:val="21"/>
                <w:lang w:val="en-US" w:eastAsia="zh-CN"/>
                <w14:textFill>
                  <w14:solidFill>
                    <w14:schemeClr w14:val="tx1"/>
                  </w14:solidFill>
                </w14:textFill>
              </w:rPr>
              <w:t>1</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ascii="宋体" w:hAnsi="宋体" w:cs="宋体"/>
                <w:color w:val="auto"/>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ascii="宋体" w:hAnsi="宋体" w:cs="宋体"/>
                <w:color w:val="auto"/>
                <w:kern w:val="0"/>
                <w:sz w:val="20"/>
                <w:szCs w:val="20"/>
              </w:rPr>
              <w:t>信息内容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ascii="宋体" w:hAnsi="宋体" w:cs="宋体"/>
                <w:color w:val="auto"/>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color w:val="auto"/>
                <w:kern w:val="0"/>
                <w:sz w:val="24"/>
                <w:szCs w:val="24"/>
              </w:rPr>
            </w:pPr>
            <w:r>
              <w:rPr>
                <w:rFonts w:hint="eastAsia" w:ascii="宋体" w:hAnsi="宋体" w:cs="宋体"/>
                <w:color w:val="auto"/>
                <w:kern w:val="0"/>
                <w:sz w:val="20"/>
                <w:szCs w:val="20"/>
              </w:rPr>
              <w:t>行政事业性收费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000000" w:themeColor="text1"/>
                <w:kern w:val="0"/>
                <w:szCs w:val="21"/>
                <w:highlight w:val="none"/>
                <w:lang w:val="en-US" w:eastAsia="zh-CN"/>
                <w14:textFill>
                  <w14:solidFill>
                    <w14:schemeClr w14:val="tx1"/>
                  </w14:solidFill>
                </w14:textFill>
              </w:rPr>
              <w:t>0</w:t>
            </w:r>
          </w:p>
        </w:tc>
      </w:tr>
    </w:tbl>
    <w:p>
      <w:pPr>
        <w:keepNext w:val="0"/>
        <w:keepLines w:val="0"/>
        <w:pageBreakBefore w:val="0"/>
        <w:numPr>
          <w:ilvl w:val="0"/>
          <w:numId w:val="1"/>
        </w:numPr>
        <w:kinsoku/>
        <w:bidi w:val="0"/>
        <w:spacing w:line="560" w:lineRule="exact"/>
        <w:ind w:left="0" w:leftChars="0" w:firstLine="640" w:firstLineChars="200"/>
        <w:textAlignment w:val="auto"/>
        <w:rPr>
          <w:rFonts w:hint="eastAsia" w:ascii="黑体" w:hAnsi="黑体" w:eastAsia="黑体"/>
          <w:color w:val="5B9BD5" w:themeColor="accent1"/>
          <w:sz w:val="32"/>
          <w:szCs w:val="32"/>
          <w14:textFill>
            <w14:solidFill>
              <w14:schemeClr w14:val="accent1"/>
            </w14:solidFill>
          </w14:textFill>
        </w:rPr>
      </w:pPr>
      <w:r>
        <w:rPr>
          <w:rFonts w:hint="eastAsia" w:ascii="黑体" w:hAnsi="黑体" w:eastAsia="黑体"/>
          <w:sz w:val="32"/>
          <w:szCs w:val="32"/>
        </w:rPr>
        <w:t>收到和处理政府信息公开申请情况</w:t>
      </w:r>
    </w:p>
    <w:tbl>
      <w:tblPr>
        <w:tblStyle w:val="4"/>
        <w:tblW w:w="9748" w:type="dxa"/>
        <w:jc w:val="center"/>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color w:val="auto"/>
                <w:kern w:val="0"/>
                <w:sz w:val="24"/>
                <w:szCs w:val="24"/>
              </w:rPr>
            </w:pPr>
            <w:r>
              <w:rPr>
                <w:rFonts w:hint="eastAsia" w:ascii="楷体" w:hAnsi="楷体" w:eastAsia="楷体" w:cs="宋体"/>
                <w:color w:val="auto"/>
                <w:kern w:val="0"/>
                <w:sz w:val="20"/>
                <w:szCs w:val="20"/>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ascii="宋体" w:hAnsi="宋体" w:cs="宋体"/>
                <w:color w:val="auto"/>
                <w:kern w:val="0"/>
                <w:sz w:val="20"/>
                <w:szCs w:val="20"/>
              </w:rPr>
              <w:t>申请人情况</w:t>
            </w:r>
          </w:p>
        </w:tc>
      </w:tr>
      <w:tr>
        <w:tblPrEx>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noWrap w:val="0"/>
            <w:vAlign w:val="center"/>
          </w:tcPr>
          <w:p>
            <w:pPr>
              <w:widowControl/>
              <w:jc w:val="left"/>
              <w:rPr>
                <w:rFonts w:ascii="宋体" w:hAnsi="宋体" w:cs="宋体"/>
                <w:color w:val="auto"/>
                <w:kern w:val="0"/>
                <w:sz w:val="24"/>
                <w:szCs w:val="24"/>
              </w:rPr>
            </w:pPr>
          </w:p>
        </w:tc>
        <w:tc>
          <w:tcPr>
            <w:tcW w:w="688" w:type="dxa"/>
            <w:vMerge w:val="restart"/>
            <w:tcBorders>
              <w:top w:val="single" w:color="auto" w:sz="0" w:space="0"/>
              <w:left w:val="single" w:color="auto" w:sz="0"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ascii="宋体" w:hAnsi="宋体" w:cs="宋体"/>
                <w:color w:val="auto"/>
                <w:kern w:val="0"/>
                <w:sz w:val="20"/>
                <w:szCs w:val="20"/>
              </w:rPr>
              <w:t>自然人</w:t>
            </w:r>
          </w:p>
        </w:tc>
        <w:tc>
          <w:tcPr>
            <w:tcW w:w="3440" w:type="dxa"/>
            <w:gridSpan w:val="5"/>
            <w:tcBorders>
              <w:top w:val="single" w:color="auto" w:sz="8" w:space="0"/>
              <w:left w:val="single" w:color="auto" w:sz="0"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ascii="宋体" w:hAnsi="宋体" w:cs="宋体"/>
                <w:color w:val="auto"/>
                <w:kern w:val="0"/>
                <w:sz w:val="20"/>
                <w:szCs w:val="20"/>
              </w:rPr>
              <w:t>法人或其他组织</w:t>
            </w:r>
          </w:p>
        </w:tc>
        <w:tc>
          <w:tcPr>
            <w:tcW w:w="689" w:type="dxa"/>
            <w:vMerge w:val="restart"/>
            <w:tcBorders>
              <w:top w:val="single" w:color="auto" w:sz="8"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ascii="宋体" w:hAnsi="宋体" w:cs="宋体"/>
                <w:color w:val="auto"/>
                <w:kern w:val="0"/>
                <w:sz w:val="20"/>
                <w:szCs w:val="20"/>
              </w:rPr>
              <w:t>总计</w:t>
            </w:r>
          </w:p>
        </w:tc>
      </w:tr>
      <w:tr>
        <w:tblPrEx>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noWrap w:val="0"/>
            <w:vAlign w:val="center"/>
          </w:tcPr>
          <w:p>
            <w:pPr>
              <w:widowControl/>
              <w:jc w:val="left"/>
              <w:rPr>
                <w:rFonts w:ascii="宋体" w:hAnsi="宋体" w:cs="宋体"/>
                <w:color w:val="auto"/>
                <w:kern w:val="0"/>
                <w:sz w:val="24"/>
                <w:szCs w:val="24"/>
              </w:rPr>
            </w:pPr>
          </w:p>
        </w:tc>
        <w:tc>
          <w:tcPr>
            <w:tcW w:w="688" w:type="dxa"/>
            <w:vMerge w:val="continue"/>
            <w:tcBorders>
              <w:top w:val="single" w:color="auto" w:sz="0" w:space="0"/>
              <w:left w:val="single" w:color="auto" w:sz="0" w:space="0"/>
              <w:bottom w:val="single" w:color="auto" w:sz="8" w:space="0"/>
              <w:right w:val="single" w:color="auto" w:sz="8" w:space="0"/>
            </w:tcBorders>
            <w:noWrap w:val="0"/>
            <w:vAlign w:val="center"/>
          </w:tcPr>
          <w:p>
            <w:pPr>
              <w:widowControl/>
              <w:jc w:val="left"/>
              <w:rPr>
                <w:rFonts w:ascii="宋体" w:hAnsi="宋体" w:cs="宋体"/>
                <w:color w:val="auto"/>
                <w:kern w:val="0"/>
                <w:sz w:val="24"/>
                <w:szCs w:val="24"/>
              </w:rPr>
            </w:pPr>
          </w:p>
        </w:tc>
        <w:tc>
          <w:tcPr>
            <w:tcW w:w="688" w:type="dxa"/>
            <w:tcBorders>
              <w:top w:val="single" w:color="auto" w:sz="0" w:space="0"/>
              <w:left w:val="single" w:color="auto" w:sz="0"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ascii="宋体" w:hAnsi="宋体" w:cs="宋体"/>
                <w:color w:val="auto"/>
                <w:kern w:val="0"/>
                <w:sz w:val="20"/>
                <w:szCs w:val="20"/>
              </w:rPr>
              <w:t>商业</w:t>
            </w:r>
          </w:p>
          <w:p>
            <w:pPr>
              <w:widowControl/>
              <w:jc w:val="center"/>
              <w:rPr>
                <w:rFonts w:ascii="宋体" w:hAnsi="宋体" w:cs="宋体"/>
                <w:color w:val="auto"/>
                <w:kern w:val="0"/>
                <w:sz w:val="24"/>
                <w:szCs w:val="24"/>
              </w:rPr>
            </w:pPr>
            <w:r>
              <w:rPr>
                <w:rFonts w:hint="eastAsia" w:ascii="宋体" w:hAnsi="宋体" w:cs="宋体"/>
                <w:color w:val="auto"/>
                <w:kern w:val="0"/>
                <w:sz w:val="20"/>
                <w:szCs w:val="20"/>
              </w:rPr>
              <w:t>企业</w:t>
            </w:r>
          </w:p>
        </w:tc>
        <w:tc>
          <w:tcPr>
            <w:tcW w:w="688" w:type="dxa"/>
            <w:tcBorders>
              <w:top w:val="single" w:color="auto" w:sz="0" w:space="0"/>
              <w:left w:val="single" w:color="auto" w:sz="0"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ascii="宋体" w:hAnsi="宋体" w:cs="宋体"/>
                <w:color w:val="auto"/>
                <w:kern w:val="0"/>
                <w:sz w:val="20"/>
                <w:szCs w:val="20"/>
              </w:rPr>
              <w:t>科研</w:t>
            </w:r>
          </w:p>
          <w:p>
            <w:pPr>
              <w:widowControl/>
              <w:jc w:val="center"/>
              <w:rPr>
                <w:rFonts w:ascii="宋体" w:hAnsi="宋体" w:cs="宋体"/>
                <w:color w:val="auto"/>
                <w:kern w:val="0"/>
                <w:sz w:val="24"/>
                <w:szCs w:val="24"/>
              </w:rPr>
            </w:pPr>
            <w:r>
              <w:rPr>
                <w:rFonts w:hint="eastAsia" w:ascii="宋体" w:hAnsi="宋体" w:cs="宋体"/>
                <w:color w:val="auto"/>
                <w:kern w:val="0"/>
                <w:sz w:val="20"/>
                <w:szCs w:val="20"/>
              </w:rPr>
              <w:t>机构</w:t>
            </w:r>
          </w:p>
        </w:tc>
        <w:tc>
          <w:tcPr>
            <w:tcW w:w="688" w:type="dxa"/>
            <w:tcBorders>
              <w:top w:val="single" w:color="auto" w:sz="8" w:space="0"/>
              <w:left w:val="single" w:color="auto" w:sz="0"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ascii="宋体" w:hAnsi="宋体" w:cs="宋体"/>
                <w:color w:val="auto"/>
                <w:kern w:val="0"/>
                <w:sz w:val="20"/>
                <w:szCs w:val="20"/>
              </w:rPr>
              <w:t>社会公益组织</w:t>
            </w:r>
          </w:p>
        </w:tc>
        <w:tc>
          <w:tcPr>
            <w:tcW w:w="688" w:type="dxa"/>
            <w:tcBorders>
              <w:top w:val="single" w:color="auto" w:sz="8" w:space="0"/>
              <w:left w:val="single" w:color="auto" w:sz="0"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ascii="宋体" w:hAnsi="宋体" w:cs="宋体"/>
                <w:color w:val="auto"/>
                <w:kern w:val="0"/>
                <w:sz w:val="20"/>
                <w:szCs w:val="20"/>
              </w:rPr>
              <w:t>法律服务机构</w:t>
            </w:r>
          </w:p>
        </w:tc>
        <w:tc>
          <w:tcPr>
            <w:tcW w:w="688" w:type="dxa"/>
            <w:tcBorders>
              <w:top w:val="single" w:color="auto" w:sz="8" w:space="0"/>
              <w:left w:val="single" w:color="auto" w:sz="0"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ascii="宋体" w:hAnsi="宋体" w:cs="宋体"/>
                <w:color w:val="auto"/>
                <w:kern w:val="0"/>
                <w:sz w:val="20"/>
                <w:szCs w:val="20"/>
              </w:rPr>
              <w:t>其他</w:t>
            </w:r>
          </w:p>
        </w:tc>
        <w:tc>
          <w:tcPr>
            <w:tcW w:w="689" w:type="dxa"/>
            <w:vMerge w:val="continue"/>
            <w:tcBorders>
              <w:top w:val="single" w:color="auto" w:sz="8" w:space="0"/>
              <w:left w:val="single" w:color="auto" w:sz="0" w:space="0"/>
              <w:bottom w:val="inset" w:color="auto" w:sz="8" w:space="0"/>
              <w:right w:val="single" w:color="auto" w:sz="8" w:space="0"/>
            </w:tcBorders>
            <w:noWrap w:val="0"/>
            <w:vAlign w:val="center"/>
          </w:tcPr>
          <w:p>
            <w:pPr>
              <w:widowControl/>
              <w:jc w:val="left"/>
              <w:rPr>
                <w:rFonts w:ascii="宋体" w:hAnsi="宋体" w:cs="宋体"/>
                <w:color w:val="auto"/>
                <w:kern w:val="0"/>
                <w:sz w:val="24"/>
                <w:szCs w:val="24"/>
              </w:rPr>
            </w:pPr>
          </w:p>
        </w:tc>
      </w:tr>
      <w:tr>
        <w:tblPrEx>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color w:val="auto"/>
                <w:kern w:val="0"/>
                <w:sz w:val="24"/>
                <w:szCs w:val="24"/>
              </w:rPr>
            </w:pPr>
            <w:r>
              <w:rPr>
                <w:rFonts w:hint="eastAsia" w:ascii="宋体" w:hAnsi="宋体" w:cs="宋体"/>
                <w:color w:val="auto"/>
                <w:kern w:val="0"/>
                <w:sz w:val="20"/>
                <w:szCs w:val="20"/>
              </w:rPr>
              <w:t>一、本年新收政府信息公开申请数量</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auto"/>
                <w:kern w:val="0"/>
                <w:sz w:val="24"/>
                <w:szCs w:val="24"/>
                <w:lang w:val="en-US" w:eastAsia="zh-CN"/>
              </w:rPr>
            </w:pPr>
            <w:r>
              <w:rPr>
                <w:rFonts w:hint="eastAsia" w:cs="宋体"/>
                <w:color w:val="000000" w:themeColor="text1"/>
                <w:kern w:val="0"/>
                <w:sz w:val="20"/>
                <w:szCs w:val="20"/>
                <w:lang w:val="en-US" w:eastAsia="zh-CN"/>
                <w14:textFill>
                  <w14:solidFill>
                    <w14:schemeClr w14:val="tx1"/>
                  </w14:solidFill>
                </w14:textFill>
              </w:rPr>
              <w:t>1</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auto"/>
                <w:kern w:val="0"/>
                <w:sz w:val="24"/>
                <w:szCs w:val="24"/>
                <w:lang w:val="en-US" w:eastAsia="zh-CN"/>
              </w:rPr>
            </w:pPr>
            <w:r>
              <w:rPr>
                <w:rFonts w:hint="eastAsia" w:cs="宋体"/>
                <w:color w:val="000000" w:themeColor="text1"/>
                <w:kern w:val="0"/>
                <w:sz w:val="20"/>
                <w:szCs w:val="20"/>
                <w:lang w:val="en-US" w:eastAsia="zh-CN"/>
                <w14:textFill>
                  <w14:solidFill>
                    <w14:schemeClr w14:val="tx1"/>
                  </w14:solidFill>
                </w14:textFill>
              </w:rPr>
              <w:t>1</w:t>
            </w:r>
          </w:p>
        </w:tc>
      </w:tr>
      <w:tr>
        <w:tblPrEx>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color w:val="auto"/>
                <w:kern w:val="0"/>
                <w:sz w:val="24"/>
                <w:szCs w:val="24"/>
              </w:rPr>
            </w:pPr>
            <w:r>
              <w:rPr>
                <w:rFonts w:hint="eastAsia" w:ascii="宋体" w:hAnsi="宋体" w:cs="宋体"/>
                <w:color w:val="auto"/>
                <w:kern w:val="0"/>
                <w:sz w:val="20"/>
                <w:szCs w:val="20"/>
              </w:rPr>
              <w:t>二、上年结转政府信息公开申请数量</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r>
      <w:tr>
        <w:tblPrEx>
          <w:tblCellMar>
            <w:top w:w="0" w:type="dxa"/>
            <w:left w:w="0" w:type="dxa"/>
            <w:bottom w:w="0" w:type="dxa"/>
            <w:right w:w="0" w:type="dxa"/>
          </w:tblCellMar>
        </w:tblPrEx>
        <w:trPr>
          <w:jc w:val="center"/>
        </w:trPr>
        <w:tc>
          <w:tcPr>
            <w:tcW w:w="768" w:type="dxa"/>
            <w:vMerge w:val="restart"/>
            <w:tcBorders>
              <w:top w:val="single" w:color="auto" w:sz="0" w:space="0"/>
              <w:left w:val="single" w:color="auto" w:sz="8" w:space="0"/>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color w:val="auto"/>
                <w:kern w:val="0"/>
                <w:sz w:val="24"/>
                <w:szCs w:val="24"/>
              </w:rPr>
            </w:pPr>
            <w:r>
              <w:rPr>
                <w:rFonts w:hint="eastAsia" w:ascii="宋体" w:hAnsi="宋体" w:cs="宋体"/>
                <w:color w:val="auto"/>
                <w:kern w:val="0"/>
                <w:sz w:val="20"/>
                <w:szCs w:val="20"/>
              </w:rPr>
              <w:t>三、本年度办理结果</w:t>
            </w:r>
          </w:p>
        </w:tc>
        <w:tc>
          <w:tcPr>
            <w:tcW w:w="4163"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color w:val="auto"/>
                <w:kern w:val="0"/>
                <w:sz w:val="24"/>
                <w:szCs w:val="24"/>
              </w:rPr>
            </w:pPr>
            <w:r>
              <w:rPr>
                <w:rFonts w:hint="eastAsia" w:ascii="宋体" w:hAnsi="宋体" w:cs="宋体"/>
                <w:color w:val="auto"/>
                <w:kern w:val="0"/>
                <w:sz w:val="20"/>
                <w:szCs w:val="20"/>
              </w:rPr>
              <w:t>（一）予以公开</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9"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r>
      <w:tr>
        <w:tblPrEx>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noWrap w:val="0"/>
            <w:vAlign w:val="center"/>
          </w:tcPr>
          <w:p>
            <w:pPr>
              <w:widowControl/>
              <w:jc w:val="left"/>
              <w:rPr>
                <w:rFonts w:ascii="宋体" w:hAnsi="宋体" w:cs="宋体"/>
                <w:color w:val="auto"/>
                <w:kern w:val="0"/>
                <w:sz w:val="24"/>
                <w:szCs w:val="24"/>
              </w:rPr>
            </w:pPr>
          </w:p>
        </w:tc>
        <w:tc>
          <w:tcPr>
            <w:tcW w:w="4163"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color w:val="auto"/>
                <w:kern w:val="0"/>
                <w:sz w:val="24"/>
                <w:szCs w:val="24"/>
              </w:rPr>
            </w:pPr>
            <w:r>
              <w:rPr>
                <w:rFonts w:hint="eastAsia" w:ascii="宋体" w:hAnsi="宋体" w:cs="宋体"/>
                <w:color w:val="auto"/>
                <w:kern w:val="0"/>
                <w:sz w:val="20"/>
                <w:szCs w:val="20"/>
              </w:rPr>
              <w:t>（二）部分公开</w:t>
            </w:r>
            <w:r>
              <w:rPr>
                <w:rFonts w:hint="eastAsia" w:ascii="楷体" w:hAnsi="楷体" w:eastAsia="楷体" w:cs="宋体"/>
                <w:color w:val="auto"/>
                <w:kern w:val="0"/>
                <w:sz w:val="20"/>
                <w:szCs w:val="20"/>
              </w:rPr>
              <w:t>（区分处理的，只计这一情形，不计其他情形）</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r>
      <w:tr>
        <w:tblPrEx>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noWrap w:val="0"/>
            <w:vAlign w:val="center"/>
          </w:tcPr>
          <w:p>
            <w:pPr>
              <w:widowControl/>
              <w:jc w:val="left"/>
              <w:rPr>
                <w:rFonts w:ascii="宋体" w:hAnsi="宋体" w:cs="宋体"/>
                <w:color w:val="auto"/>
                <w:kern w:val="0"/>
                <w:sz w:val="24"/>
                <w:szCs w:val="24"/>
              </w:rPr>
            </w:pPr>
          </w:p>
        </w:tc>
        <w:tc>
          <w:tcPr>
            <w:tcW w:w="943" w:type="dxa"/>
            <w:vMerge w:val="restart"/>
            <w:tcBorders>
              <w:top w:val="single" w:color="auto" w:sz="0"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color w:val="auto"/>
                <w:kern w:val="0"/>
                <w:sz w:val="24"/>
                <w:szCs w:val="24"/>
              </w:rPr>
            </w:pPr>
            <w:r>
              <w:rPr>
                <w:rFonts w:hint="eastAsia" w:ascii="宋体" w:hAnsi="宋体" w:cs="宋体"/>
                <w:color w:val="auto"/>
                <w:kern w:val="0"/>
                <w:sz w:val="20"/>
                <w:szCs w:val="20"/>
              </w:rPr>
              <w:t>（三）不予公开</w:t>
            </w: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cs="宋体"/>
                <w:color w:val="auto"/>
                <w:kern w:val="0"/>
                <w:sz w:val="24"/>
                <w:szCs w:val="24"/>
              </w:rPr>
            </w:pPr>
            <w:r>
              <w:rPr>
                <w:rFonts w:hint="eastAsia" w:ascii="宋体" w:hAnsi="宋体" w:cs="宋体"/>
                <w:color w:val="auto"/>
                <w:kern w:val="0"/>
                <w:sz w:val="20"/>
                <w:szCs w:val="20"/>
              </w:rPr>
              <w:t>1.属于国家秘密</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9"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r>
      <w:tr>
        <w:tblPrEx>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noWrap w:val="0"/>
            <w:vAlign w:val="center"/>
          </w:tcPr>
          <w:p>
            <w:pPr>
              <w:widowControl/>
              <w:jc w:val="left"/>
              <w:rPr>
                <w:rFonts w:ascii="宋体" w:hAnsi="宋体" w:cs="宋体"/>
                <w:color w:val="auto"/>
                <w:kern w:val="0"/>
                <w:sz w:val="24"/>
                <w:szCs w:val="24"/>
              </w:rPr>
            </w:pPr>
          </w:p>
        </w:tc>
        <w:tc>
          <w:tcPr>
            <w:tcW w:w="943" w:type="dxa"/>
            <w:vMerge w:val="continue"/>
            <w:tcBorders>
              <w:top w:val="single" w:color="auto" w:sz="0" w:space="0"/>
              <w:left w:val="single" w:color="auto" w:sz="0" w:space="0"/>
              <w:bottom w:val="inset" w:color="auto" w:sz="8" w:space="0"/>
              <w:right w:val="single" w:color="auto" w:sz="8" w:space="0"/>
            </w:tcBorders>
            <w:noWrap w:val="0"/>
            <w:vAlign w:val="center"/>
          </w:tcPr>
          <w:p>
            <w:pPr>
              <w:widowControl/>
              <w:jc w:val="left"/>
              <w:rPr>
                <w:rFonts w:ascii="宋体" w:hAnsi="宋体" w:cs="宋体"/>
                <w:color w:val="auto"/>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cs="宋体"/>
                <w:color w:val="auto"/>
                <w:kern w:val="0"/>
                <w:sz w:val="24"/>
                <w:szCs w:val="24"/>
              </w:rPr>
            </w:pPr>
            <w:r>
              <w:rPr>
                <w:rFonts w:hint="eastAsia" w:ascii="宋体" w:hAnsi="宋体" w:cs="宋体"/>
                <w:color w:val="auto"/>
                <w:kern w:val="0"/>
                <w:sz w:val="20"/>
                <w:szCs w:val="20"/>
              </w:rPr>
              <w:t>2.其他法律行政法规禁止公开</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r>
      <w:tr>
        <w:tblPrEx>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noWrap w:val="0"/>
            <w:vAlign w:val="center"/>
          </w:tcPr>
          <w:p>
            <w:pPr>
              <w:widowControl/>
              <w:jc w:val="left"/>
              <w:rPr>
                <w:rFonts w:ascii="宋体" w:hAnsi="宋体" w:cs="宋体"/>
                <w:color w:val="auto"/>
                <w:kern w:val="0"/>
                <w:sz w:val="24"/>
                <w:szCs w:val="24"/>
              </w:rPr>
            </w:pPr>
          </w:p>
        </w:tc>
        <w:tc>
          <w:tcPr>
            <w:tcW w:w="943" w:type="dxa"/>
            <w:vMerge w:val="continue"/>
            <w:tcBorders>
              <w:top w:val="single" w:color="auto" w:sz="0" w:space="0"/>
              <w:left w:val="single" w:color="auto" w:sz="0" w:space="0"/>
              <w:bottom w:val="inset" w:color="auto" w:sz="8" w:space="0"/>
              <w:right w:val="single" w:color="auto" w:sz="8" w:space="0"/>
            </w:tcBorders>
            <w:noWrap w:val="0"/>
            <w:vAlign w:val="center"/>
          </w:tcPr>
          <w:p>
            <w:pPr>
              <w:widowControl/>
              <w:jc w:val="left"/>
              <w:rPr>
                <w:rFonts w:ascii="宋体" w:hAnsi="宋体" w:cs="宋体"/>
                <w:color w:val="auto"/>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cs="宋体"/>
                <w:color w:val="auto"/>
                <w:kern w:val="0"/>
                <w:sz w:val="24"/>
                <w:szCs w:val="24"/>
              </w:rPr>
            </w:pPr>
            <w:r>
              <w:rPr>
                <w:rFonts w:hint="eastAsia" w:ascii="宋体" w:hAnsi="宋体" w:cs="宋体"/>
                <w:color w:val="auto"/>
                <w:kern w:val="0"/>
                <w:sz w:val="20"/>
                <w:szCs w:val="20"/>
              </w:rPr>
              <w:t>3.危及“三安全一稳定”</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r>
      <w:tr>
        <w:tblPrEx>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noWrap w:val="0"/>
            <w:vAlign w:val="center"/>
          </w:tcPr>
          <w:p>
            <w:pPr>
              <w:widowControl/>
              <w:jc w:val="left"/>
              <w:rPr>
                <w:rFonts w:ascii="宋体" w:hAnsi="宋体" w:cs="宋体"/>
                <w:color w:val="auto"/>
                <w:kern w:val="0"/>
                <w:sz w:val="24"/>
                <w:szCs w:val="24"/>
              </w:rPr>
            </w:pPr>
          </w:p>
        </w:tc>
        <w:tc>
          <w:tcPr>
            <w:tcW w:w="943" w:type="dxa"/>
            <w:vMerge w:val="continue"/>
            <w:tcBorders>
              <w:top w:val="single" w:color="auto" w:sz="0" w:space="0"/>
              <w:left w:val="single" w:color="auto" w:sz="0" w:space="0"/>
              <w:bottom w:val="inset" w:color="auto" w:sz="8" w:space="0"/>
              <w:right w:val="single" w:color="auto" w:sz="8" w:space="0"/>
            </w:tcBorders>
            <w:noWrap w:val="0"/>
            <w:vAlign w:val="center"/>
          </w:tcPr>
          <w:p>
            <w:pPr>
              <w:widowControl/>
              <w:jc w:val="left"/>
              <w:rPr>
                <w:rFonts w:ascii="宋体" w:hAnsi="宋体" w:cs="宋体"/>
                <w:color w:val="auto"/>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cs="宋体"/>
                <w:color w:val="auto"/>
                <w:kern w:val="0"/>
                <w:sz w:val="24"/>
                <w:szCs w:val="24"/>
              </w:rPr>
            </w:pPr>
            <w:r>
              <w:rPr>
                <w:rFonts w:hint="eastAsia" w:ascii="宋体" w:hAnsi="宋体" w:cs="宋体"/>
                <w:color w:val="auto"/>
                <w:kern w:val="0"/>
                <w:sz w:val="20"/>
                <w:szCs w:val="20"/>
              </w:rPr>
              <w:t>4.保护第三方合法权益</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auto"/>
                <w:kern w:val="0"/>
                <w:sz w:val="24"/>
                <w:szCs w:val="24"/>
                <w:lang w:val="en-US" w:eastAsia="zh-CN"/>
              </w:rPr>
            </w:pPr>
            <w:r>
              <w:rPr>
                <w:rFonts w:hint="eastAsia" w:cs="宋体"/>
                <w:color w:val="000000" w:themeColor="text1"/>
                <w:kern w:val="0"/>
                <w:sz w:val="20"/>
                <w:szCs w:val="20"/>
                <w:lang w:val="en-US" w:eastAsia="zh-CN"/>
                <w14:textFill>
                  <w14:solidFill>
                    <w14:schemeClr w14:val="tx1"/>
                  </w14:solidFill>
                </w14:textFill>
              </w:rPr>
              <w:t>1</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auto"/>
                <w:kern w:val="0"/>
                <w:sz w:val="24"/>
                <w:szCs w:val="24"/>
                <w:lang w:val="en-US" w:eastAsia="zh-CN"/>
              </w:rPr>
            </w:pPr>
            <w:r>
              <w:rPr>
                <w:rFonts w:hint="eastAsia" w:cs="宋体"/>
                <w:color w:val="000000" w:themeColor="text1"/>
                <w:kern w:val="0"/>
                <w:sz w:val="20"/>
                <w:szCs w:val="20"/>
                <w:lang w:val="en-US" w:eastAsia="zh-CN"/>
                <w14:textFill>
                  <w14:solidFill>
                    <w14:schemeClr w14:val="tx1"/>
                  </w14:solidFill>
                </w14:textFill>
              </w:rPr>
              <w:t>1</w:t>
            </w:r>
          </w:p>
        </w:tc>
      </w:tr>
      <w:tr>
        <w:tblPrEx>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noWrap w:val="0"/>
            <w:vAlign w:val="center"/>
          </w:tcPr>
          <w:p>
            <w:pPr>
              <w:widowControl/>
              <w:jc w:val="left"/>
              <w:rPr>
                <w:rFonts w:ascii="宋体" w:hAnsi="宋体" w:cs="宋体"/>
                <w:color w:val="auto"/>
                <w:kern w:val="0"/>
                <w:sz w:val="24"/>
                <w:szCs w:val="24"/>
              </w:rPr>
            </w:pPr>
          </w:p>
        </w:tc>
        <w:tc>
          <w:tcPr>
            <w:tcW w:w="943" w:type="dxa"/>
            <w:vMerge w:val="continue"/>
            <w:tcBorders>
              <w:top w:val="single" w:color="auto" w:sz="0" w:space="0"/>
              <w:left w:val="single" w:color="auto" w:sz="0" w:space="0"/>
              <w:bottom w:val="inset" w:color="auto" w:sz="8" w:space="0"/>
              <w:right w:val="single" w:color="auto" w:sz="8" w:space="0"/>
            </w:tcBorders>
            <w:noWrap w:val="0"/>
            <w:vAlign w:val="center"/>
          </w:tcPr>
          <w:p>
            <w:pPr>
              <w:widowControl/>
              <w:jc w:val="left"/>
              <w:rPr>
                <w:rFonts w:ascii="宋体" w:hAnsi="宋体" w:cs="宋体"/>
                <w:color w:val="auto"/>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cs="宋体"/>
                <w:color w:val="auto"/>
                <w:kern w:val="0"/>
                <w:sz w:val="24"/>
                <w:szCs w:val="24"/>
              </w:rPr>
            </w:pPr>
            <w:r>
              <w:rPr>
                <w:rFonts w:hint="eastAsia" w:ascii="宋体" w:hAnsi="宋体" w:cs="宋体"/>
                <w:color w:val="auto"/>
                <w:kern w:val="0"/>
                <w:sz w:val="20"/>
                <w:szCs w:val="20"/>
              </w:rPr>
              <w:t>5.属于三类内部事务信息</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r>
      <w:tr>
        <w:tblPrEx>
          <w:tblCellMar>
            <w:top w:w="0" w:type="dxa"/>
            <w:left w:w="0" w:type="dxa"/>
            <w:bottom w:w="0" w:type="dxa"/>
            <w:right w:w="0" w:type="dxa"/>
          </w:tblCellMar>
        </w:tblPrEx>
        <w:trPr>
          <w:trHeight w:val="300" w:hRule="atLeast"/>
          <w:jc w:val="center"/>
        </w:trPr>
        <w:tc>
          <w:tcPr>
            <w:tcW w:w="768" w:type="dxa"/>
            <w:vMerge w:val="continue"/>
            <w:tcBorders>
              <w:top w:val="single" w:color="auto" w:sz="0" w:space="0"/>
              <w:left w:val="single" w:color="auto" w:sz="8" w:space="0"/>
              <w:bottom w:val="inset" w:color="auto" w:sz="8" w:space="0"/>
              <w:right w:val="single" w:color="auto" w:sz="8" w:space="0"/>
            </w:tcBorders>
            <w:noWrap w:val="0"/>
            <w:vAlign w:val="center"/>
          </w:tcPr>
          <w:p>
            <w:pPr>
              <w:widowControl/>
              <w:jc w:val="left"/>
              <w:rPr>
                <w:rFonts w:ascii="宋体" w:hAnsi="宋体" w:cs="宋体"/>
                <w:color w:val="auto"/>
                <w:kern w:val="0"/>
                <w:sz w:val="24"/>
                <w:szCs w:val="24"/>
              </w:rPr>
            </w:pPr>
          </w:p>
        </w:tc>
        <w:tc>
          <w:tcPr>
            <w:tcW w:w="943" w:type="dxa"/>
            <w:vMerge w:val="continue"/>
            <w:tcBorders>
              <w:top w:val="single" w:color="auto" w:sz="0" w:space="0"/>
              <w:left w:val="single" w:color="auto" w:sz="0" w:space="0"/>
              <w:bottom w:val="inset" w:color="auto" w:sz="8" w:space="0"/>
              <w:right w:val="single" w:color="auto" w:sz="8" w:space="0"/>
            </w:tcBorders>
            <w:noWrap w:val="0"/>
            <w:vAlign w:val="center"/>
          </w:tcPr>
          <w:p>
            <w:pPr>
              <w:widowControl/>
              <w:jc w:val="left"/>
              <w:rPr>
                <w:rFonts w:ascii="宋体" w:hAnsi="宋体" w:cs="宋体"/>
                <w:color w:val="auto"/>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cs="宋体"/>
                <w:color w:val="auto"/>
                <w:kern w:val="0"/>
                <w:sz w:val="24"/>
                <w:szCs w:val="24"/>
              </w:rPr>
            </w:pPr>
            <w:r>
              <w:rPr>
                <w:rFonts w:hint="eastAsia" w:ascii="宋体" w:hAnsi="宋体" w:cs="宋体"/>
                <w:color w:val="auto"/>
                <w:kern w:val="0"/>
                <w:sz w:val="20"/>
                <w:szCs w:val="20"/>
              </w:rPr>
              <w:t>6.属于四类过程性信息</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r>
      <w:tr>
        <w:tblPrEx>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noWrap w:val="0"/>
            <w:vAlign w:val="center"/>
          </w:tcPr>
          <w:p>
            <w:pPr>
              <w:widowControl/>
              <w:jc w:val="left"/>
              <w:rPr>
                <w:rFonts w:ascii="宋体" w:hAnsi="宋体" w:cs="宋体"/>
                <w:color w:val="auto"/>
                <w:kern w:val="0"/>
                <w:sz w:val="24"/>
                <w:szCs w:val="24"/>
              </w:rPr>
            </w:pPr>
          </w:p>
        </w:tc>
        <w:tc>
          <w:tcPr>
            <w:tcW w:w="943" w:type="dxa"/>
            <w:vMerge w:val="continue"/>
            <w:tcBorders>
              <w:top w:val="single" w:color="auto" w:sz="0" w:space="0"/>
              <w:left w:val="single" w:color="auto" w:sz="0" w:space="0"/>
              <w:bottom w:val="inset" w:color="auto" w:sz="8" w:space="0"/>
              <w:right w:val="single" w:color="auto" w:sz="8" w:space="0"/>
            </w:tcBorders>
            <w:noWrap w:val="0"/>
            <w:vAlign w:val="center"/>
          </w:tcPr>
          <w:p>
            <w:pPr>
              <w:widowControl/>
              <w:jc w:val="left"/>
              <w:rPr>
                <w:rFonts w:ascii="宋体" w:hAnsi="宋体" w:cs="宋体"/>
                <w:color w:val="auto"/>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cs="宋体"/>
                <w:color w:val="auto"/>
                <w:kern w:val="0"/>
                <w:sz w:val="24"/>
                <w:szCs w:val="24"/>
              </w:rPr>
            </w:pPr>
            <w:r>
              <w:rPr>
                <w:rFonts w:hint="eastAsia" w:ascii="宋体" w:hAnsi="宋体" w:cs="宋体"/>
                <w:color w:val="auto"/>
                <w:kern w:val="0"/>
                <w:sz w:val="20"/>
                <w:szCs w:val="20"/>
              </w:rPr>
              <w:t>7.属于行政执法案卷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eastAsia="zh-CN"/>
              </w:rPr>
            </w:pPr>
            <w:r>
              <w:rPr>
                <w:rFonts w:hint="eastAsia" w:cs="宋体"/>
                <w:color w:val="auto"/>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eastAsia="zh-CN"/>
              </w:rPr>
            </w:pPr>
            <w:r>
              <w:rPr>
                <w:rFonts w:hint="eastAsia" w:cs="宋体"/>
                <w:color w:val="auto"/>
                <w:kern w:val="0"/>
                <w:sz w:val="20"/>
                <w:szCs w:val="20"/>
                <w:lang w:val="en-US" w:eastAsia="zh-CN"/>
              </w:rPr>
              <w:t>0</w:t>
            </w:r>
          </w:p>
        </w:tc>
      </w:tr>
      <w:tr>
        <w:tblPrEx>
          <w:tblCellMar>
            <w:top w:w="0" w:type="dxa"/>
            <w:left w:w="0" w:type="dxa"/>
            <w:bottom w:w="0" w:type="dxa"/>
            <w:right w:w="0" w:type="dxa"/>
          </w:tblCellMar>
        </w:tblPrEx>
        <w:trPr>
          <w:trHeight w:val="90" w:hRule="atLeast"/>
          <w:jc w:val="center"/>
        </w:trPr>
        <w:tc>
          <w:tcPr>
            <w:tcW w:w="768" w:type="dxa"/>
            <w:vMerge w:val="continue"/>
            <w:tcBorders>
              <w:top w:val="single" w:color="auto" w:sz="0" w:space="0"/>
              <w:left w:val="single" w:color="auto" w:sz="8" w:space="0"/>
              <w:bottom w:val="inset" w:color="auto" w:sz="8" w:space="0"/>
              <w:right w:val="single" w:color="auto" w:sz="8" w:space="0"/>
            </w:tcBorders>
            <w:noWrap w:val="0"/>
            <w:vAlign w:val="center"/>
          </w:tcPr>
          <w:p>
            <w:pPr>
              <w:widowControl/>
              <w:jc w:val="left"/>
              <w:rPr>
                <w:rFonts w:ascii="宋体" w:hAnsi="宋体" w:cs="宋体"/>
                <w:color w:val="auto"/>
                <w:kern w:val="0"/>
                <w:sz w:val="24"/>
                <w:szCs w:val="24"/>
              </w:rPr>
            </w:pPr>
          </w:p>
        </w:tc>
        <w:tc>
          <w:tcPr>
            <w:tcW w:w="943" w:type="dxa"/>
            <w:vMerge w:val="continue"/>
            <w:tcBorders>
              <w:top w:val="single" w:color="auto" w:sz="0" w:space="0"/>
              <w:left w:val="single" w:color="auto" w:sz="0" w:space="0"/>
              <w:bottom w:val="inset" w:color="auto" w:sz="8" w:space="0"/>
              <w:right w:val="single" w:color="auto" w:sz="8" w:space="0"/>
            </w:tcBorders>
            <w:noWrap w:val="0"/>
            <w:vAlign w:val="center"/>
          </w:tcPr>
          <w:p>
            <w:pPr>
              <w:widowControl/>
              <w:jc w:val="left"/>
              <w:rPr>
                <w:rFonts w:ascii="宋体" w:hAnsi="宋体" w:cs="宋体"/>
                <w:color w:val="auto"/>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cs="宋体"/>
                <w:color w:val="auto"/>
                <w:kern w:val="0"/>
                <w:sz w:val="24"/>
                <w:szCs w:val="24"/>
              </w:rPr>
            </w:pPr>
            <w:r>
              <w:rPr>
                <w:rFonts w:hint="eastAsia" w:ascii="宋体" w:hAnsi="宋体" w:cs="宋体"/>
                <w:color w:val="auto"/>
                <w:kern w:val="0"/>
                <w:sz w:val="20"/>
                <w:szCs w:val="20"/>
              </w:rPr>
              <w:t>8.属于行政查询事项</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r>
      <w:tr>
        <w:tblPrEx>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noWrap w:val="0"/>
            <w:vAlign w:val="center"/>
          </w:tcPr>
          <w:p>
            <w:pPr>
              <w:widowControl/>
              <w:jc w:val="left"/>
              <w:rPr>
                <w:rFonts w:ascii="宋体" w:hAnsi="宋体" w:cs="宋体"/>
                <w:color w:val="auto"/>
                <w:kern w:val="0"/>
                <w:sz w:val="24"/>
                <w:szCs w:val="24"/>
              </w:rPr>
            </w:pPr>
          </w:p>
        </w:tc>
        <w:tc>
          <w:tcPr>
            <w:tcW w:w="943" w:type="dxa"/>
            <w:vMerge w:val="restart"/>
            <w:tcBorders>
              <w:top w:val="single" w:color="auto" w:sz="0"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color w:val="auto"/>
                <w:kern w:val="0"/>
                <w:sz w:val="24"/>
                <w:szCs w:val="24"/>
              </w:rPr>
            </w:pPr>
            <w:r>
              <w:rPr>
                <w:rFonts w:hint="eastAsia" w:ascii="宋体" w:hAnsi="宋体" w:cs="宋体"/>
                <w:color w:val="auto"/>
                <w:kern w:val="0"/>
                <w:sz w:val="20"/>
                <w:szCs w:val="20"/>
              </w:rPr>
              <w:t>（四）无法提供</w:t>
            </w: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cs="宋体"/>
                <w:color w:val="auto"/>
                <w:kern w:val="0"/>
                <w:sz w:val="24"/>
                <w:szCs w:val="24"/>
              </w:rPr>
            </w:pPr>
            <w:r>
              <w:rPr>
                <w:rFonts w:hint="eastAsia" w:ascii="宋体" w:hAnsi="宋体" w:cs="宋体"/>
                <w:color w:val="auto"/>
                <w:kern w:val="0"/>
                <w:sz w:val="20"/>
                <w:szCs w:val="20"/>
              </w:rPr>
              <w:t>1.本机关不掌握相关政府信息</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val="en-US" w:eastAsia="zh-CN"/>
              </w:rPr>
            </w:pPr>
            <w:r>
              <w:rPr>
                <w:rFonts w:hint="eastAsia" w:cs="宋体"/>
                <w:color w:val="auto"/>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eastAsia="zh-CN"/>
              </w:rPr>
            </w:pPr>
            <w:r>
              <w:rPr>
                <w:rFonts w:hint="eastAsia" w:cs="宋体"/>
                <w:color w:val="auto"/>
                <w:kern w:val="0"/>
                <w:sz w:val="20"/>
                <w:szCs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noWrap w:val="0"/>
            <w:vAlign w:val="center"/>
          </w:tcPr>
          <w:p>
            <w:pPr>
              <w:widowControl/>
              <w:jc w:val="left"/>
              <w:rPr>
                <w:rFonts w:ascii="宋体" w:hAnsi="宋体" w:cs="宋体"/>
                <w:color w:val="auto"/>
                <w:kern w:val="0"/>
                <w:sz w:val="24"/>
                <w:szCs w:val="24"/>
              </w:rPr>
            </w:pPr>
          </w:p>
        </w:tc>
        <w:tc>
          <w:tcPr>
            <w:tcW w:w="943" w:type="dxa"/>
            <w:vMerge w:val="continue"/>
            <w:tcBorders>
              <w:top w:val="single" w:color="auto" w:sz="0" w:space="0"/>
              <w:left w:val="single" w:color="auto" w:sz="0" w:space="0"/>
              <w:bottom w:val="inset" w:color="auto" w:sz="8" w:space="0"/>
              <w:right w:val="single" w:color="auto" w:sz="8" w:space="0"/>
            </w:tcBorders>
            <w:noWrap w:val="0"/>
            <w:vAlign w:val="center"/>
          </w:tcPr>
          <w:p>
            <w:pPr>
              <w:widowControl/>
              <w:jc w:val="left"/>
              <w:rPr>
                <w:rFonts w:ascii="宋体" w:hAnsi="宋体" w:cs="宋体"/>
                <w:color w:val="auto"/>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cs="宋体"/>
                <w:color w:val="auto"/>
                <w:kern w:val="0"/>
                <w:sz w:val="24"/>
                <w:szCs w:val="24"/>
              </w:rPr>
            </w:pPr>
            <w:r>
              <w:rPr>
                <w:rFonts w:hint="eastAsia" w:ascii="宋体" w:hAnsi="宋体" w:cs="宋体"/>
                <w:color w:val="auto"/>
                <w:kern w:val="0"/>
                <w:sz w:val="20"/>
                <w:szCs w:val="20"/>
              </w:rPr>
              <w:t>2.没有现成信息需要另行制作</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r>
      <w:tr>
        <w:tblPrEx>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noWrap w:val="0"/>
            <w:vAlign w:val="center"/>
          </w:tcPr>
          <w:p>
            <w:pPr>
              <w:widowControl/>
              <w:jc w:val="left"/>
              <w:rPr>
                <w:rFonts w:ascii="宋体" w:hAnsi="宋体" w:cs="宋体"/>
                <w:color w:val="auto"/>
                <w:kern w:val="0"/>
                <w:sz w:val="24"/>
                <w:szCs w:val="24"/>
              </w:rPr>
            </w:pPr>
          </w:p>
        </w:tc>
        <w:tc>
          <w:tcPr>
            <w:tcW w:w="943" w:type="dxa"/>
            <w:vMerge w:val="continue"/>
            <w:tcBorders>
              <w:top w:val="single" w:color="auto" w:sz="0" w:space="0"/>
              <w:left w:val="single" w:color="auto" w:sz="0" w:space="0"/>
              <w:bottom w:val="inset" w:color="auto" w:sz="8" w:space="0"/>
              <w:right w:val="single" w:color="auto" w:sz="8" w:space="0"/>
            </w:tcBorders>
            <w:noWrap w:val="0"/>
            <w:vAlign w:val="center"/>
          </w:tcPr>
          <w:p>
            <w:pPr>
              <w:widowControl/>
              <w:jc w:val="left"/>
              <w:rPr>
                <w:rFonts w:ascii="宋体" w:hAnsi="宋体" w:cs="宋体"/>
                <w:color w:val="auto"/>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cs="宋体"/>
                <w:color w:val="auto"/>
                <w:kern w:val="0"/>
                <w:sz w:val="24"/>
                <w:szCs w:val="24"/>
              </w:rPr>
            </w:pPr>
            <w:r>
              <w:rPr>
                <w:rFonts w:hint="eastAsia" w:ascii="宋体" w:hAnsi="宋体" w:cs="宋体"/>
                <w:color w:val="auto"/>
                <w:kern w:val="0"/>
                <w:sz w:val="20"/>
                <w:szCs w:val="20"/>
              </w:rPr>
              <w:t>3.补正后申请内容仍不明确</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cs="宋体"/>
                <w:color w:val="auto"/>
                <w:kern w:val="0"/>
                <w:sz w:val="20"/>
                <w:szCs w:val="20"/>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cs="宋体"/>
                <w:color w:val="auto"/>
                <w:kern w:val="0"/>
                <w:sz w:val="20"/>
                <w:szCs w:val="20"/>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cs="宋体"/>
                <w:color w:val="auto"/>
                <w:kern w:val="0"/>
                <w:sz w:val="20"/>
                <w:szCs w:val="20"/>
              </w:rPr>
            </w:pPr>
            <w:r>
              <w:rPr>
                <w:rFonts w:hint="eastAsia" w:cs="宋体"/>
                <w:color w:val="auto"/>
                <w:kern w:val="0"/>
                <w:sz w:val="20"/>
                <w:szCs w:val="20"/>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cs="宋体"/>
                <w:color w:val="auto"/>
                <w:kern w:val="0"/>
                <w:sz w:val="20"/>
                <w:szCs w:val="20"/>
              </w:rPr>
            </w:pPr>
            <w:r>
              <w:rPr>
                <w:rFonts w:hint="eastAsia" w:cs="宋体"/>
                <w:color w:val="auto"/>
                <w:kern w:val="0"/>
                <w:sz w:val="20"/>
                <w:szCs w:val="20"/>
              </w:rPr>
              <w:t>0</w:t>
            </w:r>
          </w:p>
        </w:tc>
      </w:tr>
      <w:tr>
        <w:tblPrEx>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noWrap w:val="0"/>
            <w:vAlign w:val="center"/>
          </w:tcPr>
          <w:p>
            <w:pPr>
              <w:widowControl/>
              <w:jc w:val="left"/>
              <w:rPr>
                <w:rFonts w:ascii="宋体" w:hAnsi="宋体" w:cs="宋体"/>
                <w:color w:val="auto"/>
                <w:kern w:val="0"/>
                <w:sz w:val="24"/>
                <w:szCs w:val="24"/>
              </w:rPr>
            </w:pPr>
          </w:p>
        </w:tc>
        <w:tc>
          <w:tcPr>
            <w:tcW w:w="943" w:type="dxa"/>
            <w:vMerge w:val="restart"/>
            <w:tcBorders>
              <w:top w:val="single" w:color="auto" w:sz="0"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color w:val="auto"/>
                <w:kern w:val="0"/>
                <w:sz w:val="24"/>
                <w:szCs w:val="24"/>
              </w:rPr>
            </w:pPr>
            <w:r>
              <w:rPr>
                <w:rFonts w:hint="eastAsia" w:ascii="宋体" w:hAnsi="宋体" w:cs="宋体"/>
                <w:color w:val="auto"/>
                <w:kern w:val="0"/>
                <w:sz w:val="20"/>
                <w:szCs w:val="20"/>
              </w:rPr>
              <w:t>（五）不予处理</w:t>
            </w: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cs="宋体"/>
                <w:color w:val="auto"/>
                <w:kern w:val="0"/>
                <w:sz w:val="24"/>
                <w:szCs w:val="24"/>
              </w:rPr>
            </w:pPr>
            <w:r>
              <w:rPr>
                <w:rFonts w:hint="eastAsia" w:ascii="宋体" w:hAnsi="宋体" w:cs="宋体"/>
                <w:color w:val="auto"/>
                <w:kern w:val="0"/>
                <w:sz w:val="20"/>
                <w:szCs w:val="20"/>
              </w:rPr>
              <w:t>1.信访举报投诉类申请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cs="宋体"/>
                <w:color w:val="auto"/>
                <w:kern w:val="0"/>
                <w:sz w:val="20"/>
                <w:szCs w:val="20"/>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cs="宋体"/>
                <w:color w:val="auto"/>
                <w:kern w:val="0"/>
                <w:sz w:val="20"/>
                <w:szCs w:val="20"/>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cs="宋体"/>
                <w:color w:val="auto"/>
                <w:kern w:val="0"/>
                <w:sz w:val="20"/>
                <w:szCs w:val="20"/>
              </w:rPr>
            </w:pPr>
            <w:r>
              <w:rPr>
                <w:rFonts w:hint="eastAsia" w:cs="宋体"/>
                <w:color w:val="auto"/>
                <w:kern w:val="0"/>
                <w:sz w:val="20"/>
                <w:szCs w:val="20"/>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cs="宋体"/>
                <w:color w:val="auto"/>
                <w:kern w:val="0"/>
                <w:sz w:val="20"/>
                <w:szCs w:val="20"/>
              </w:rPr>
            </w:pPr>
            <w:r>
              <w:rPr>
                <w:rFonts w:hint="eastAsia" w:cs="宋体"/>
                <w:color w:val="auto"/>
                <w:kern w:val="0"/>
                <w:sz w:val="20"/>
                <w:szCs w:val="20"/>
              </w:rPr>
              <w:t>0</w:t>
            </w:r>
          </w:p>
        </w:tc>
      </w:tr>
      <w:tr>
        <w:tblPrEx>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noWrap w:val="0"/>
            <w:vAlign w:val="center"/>
          </w:tcPr>
          <w:p>
            <w:pPr>
              <w:widowControl/>
              <w:jc w:val="left"/>
              <w:rPr>
                <w:rFonts w:ascii="宋体" w:hAnsi="宋体" w:cs="宋体"/>
                <w:color w:val="auto"/>
                <w:kern w:val="0"/>
                <w:sz w:val="24"/>
                <w:szCs w:val="24"/>
              </w:rPr>
            </w:pPr>
          </w:p>
        </w:tc>
        <w:tc>
          <w:tcPr>
            <w:tcW w:w="943" w:type="dxa"/>
            <w:vMerge w:val="continue"/>
            <w:tcBorders>
              <w:top w:val="single" w:color="auto" w:sz="0" w:space="0"/>
              <w:left w:val="single" w:color="auto" w:sz="0" w:space="0"/>
              <w:bottom w:val="inset" w:color="auto" w:sz="8" w:space="0"/>
              <w:right w:val="single" w:color="auto" w:sz="8" w:space="0"/>
            </w:tcBorders>
            <w:noWrap w:val="0"/>
            <w:vAlign w:val="center"/>
          </w:tcPr>
          <w:p>
            <w:pPr>
              <w:widowControl/>
              <w:jc w:val="left"/>
              <w:rPr>
                <w:rFonts w:ascii="宋体" w:hAnsi="宋体" w:cs="宋体"/>
                <w:color w:val="auto"/>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cs="宋体"/>
                <w:color w:val="auto"/>
                <w:kern w:val="0"/>
                <w:sz w:val="24"/>
                <w:szCs w:val="24"/>
              </w:rPr>
            </w:pPr>
            <w:r>
              <w:rPr>
                <w:rFonts w:hint="eastAsia" w:ascii="宋体" w:hAnsi="宋体" w:cs="宋体"/>
                <w:color w:val="auto"/>
                <w:kern w:val="0"/>
                <w:sz w:val="20"/>
                <w:szCs w:val="20"/>
              </w:rPr>
              <w:t>2.重复申请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cs="宋体"/>
                <w:color w:val="auto"/>
                <w:kern w:val="0"/>
                <w:sz w:val="20"/>
                <w:szCs w:val="20"/>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cs="宋体"/>
                <w:color w:val="auto"/>
                <w:kern w:val="0"/>
                <w:sz w:val="20"/>
                <w:szCs w:val="20"/>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cs="宋体"/>
                <w:color w:val="auto"/>
                <w:kern w:val="0"/>
                <w:sz w:val="20"/>
                <w:szCs w:val="20"/>
              </w:rPr>
            </w:pPr>
            <w:r>
              <w:rPr>
                <w:rFonts w:hint="eastAsia" w:cs="宋体"/>
                <w:color w:val="auto"/>
                <w:kern w:val="0"/>
                <w:sz w:val="20"/>
                <w:szCs w:val="20"/>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cs="宋体"/>
                <w:color w:val="auto"/>
                <w:kern w:val="0"/>
                <w:sz w:val="20"/>
                <w:szCs w:val="20"/>
              </w:rPr>
            </w:pPr>
            <w:r>
              <w:rPr>
                <w:rFonts w:hint="eastAsia" w:cs="宋体"/>
                <w:color w:val="auto"/>
                <w:kern w:val="0"/>
                <w:sz w:val="20"/>
                <w:szCs w:val="20"/>
              </w:rPr>
              <w:t>0</w:t>
            </w:r>
          </w:p>
        </w:tc>
      </w:tr>
      <w:tr>
        <w:tblPrEx>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noWrap w:val="0"/>
            <w:vAlign w:val="center"/>
          </w:tcPr>
          <w:p>
            <w:pPr>
              <w:widowControl/>
              <w:jc w:val="left"/>
              <w:rPr>
                <w:rFonts w:ascii="宋体" w:hAnsi="宋体" w:cs="宋体"/>
                <w:color w:val="auto"/>
                <w:kern w:val="0"/>
                <w:sz w:val="24"/>
                <w:szCs w:val="24"/>
              </w:rPr>
            </w:pPr>
          </w:p>
        </w:tc>
        <w:tc>
          <w:tcPr>
            <w:tcW w:w="943" w:type="dxa"/>
            <w:vMerge w:val="continue"/>
            <w:tcBorders>
              <w:top w:val="single" w:color="auto" w:sz="0" w:space="0"/>
              <w:left w:val="single" w:color="auto" w:sz="0" w:space="0"/>
              <w:bottom w:val="inset" w:color="auto" w:sz="8" w:space="0"/>
              <w:right w:val="single" w:color="auto" w:sz="8" w:space="0"/>
            </w:tcBorders>
            <w:noWrap w:val="0"/>
            <w:vAlign w:val="center"/>
          </w:tcPr>
          <w:p>
            <w:pPr>
              <w:widowControl/>
              <w:jc w:val="left"/>
              <w:rPr>
                <w:rFonts w:ascii="宋体" w:hAnsi="宋体" w:cs="宋体"/>
                <w:color w:val="auto"/>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cs="宋体"/>
                <w:color w:val="auto"/>
                <w:kern w:val="0"/>
                <w:sz w:val="24"/>
                <w:szCs w:val="24"/>
              </w:rPr>
            </w:pPr>
            <w:r>
              <w:rPr>
                <w:rFonts w:hint="eastAsia" w:ascii="宋体" w:hAnsi="宋体" w:cs="宋体"/>
                <w:color w:val="auto"/>
                <w:kern w:val="0"/>
                <w:sz w:val="20"/>
                <w:szCs w:val="20"/>
              </w:rPr>
              <w:t>3.要求提供公开出版物</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cs="宋体"/>
                <w:color w:val="auto"/>
                <w:kern w:val="0"/>
                <w:sz w:val="20"/>
                <w:szCs w:val="20"/>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cs="宋体"/>
                <w:color w:val="auto"/>
                <w:kern w:val="0"/>
                <w:sz w:val="20"/>
                <w:szCs w:val="20"/>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cs="宋体"/>
                <w:color w:val="auto"/>
                <w:kern w:val="0"/>
                <w:sz w:val="20"/>
                <w:szCs w:val="20"/>
              </w:rPr>
            </w:pPr>
            <w:r>
              <w:rPr>
                <w:rFonts w:hint="eastAsia" w:cs="宋体"/>
                <w:color w:val="auto"/>
                <w:kern w:val="0"/>
                <w:sz w:val="20"/>
                <w:szCs w:val="20"/>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cs="宋体"/>
                <w:color w:val="auto"/>
                <w:kern w:val="0"/>
                <w:sz w:val="20"/>
                <w:szCs w:val="20"/>
              </w:rPr>
            </w:pPr>
            <w:r>
              <w:rPr>
                <w:rFonts w:hint="eastAsia" w:cs="宋体"/>
                <w:color w:val="auto"/>
                <w:kern w:val="0"/>
                <w:sz w:val="20"/>
                <w:szCs w:val="20"/>
              </w:rPr>
              <w:t>0</w:t>
            </w:r>
          </w:p>
        </w:tc>
      </w:tr>
      <w:tr>
        <w:tblPrEx>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noWrap w:val="0"/>
            <w:vAlign w:val="center"/>
          </w:tcPr>
          <w:p>
            <w:pPr>
              <w:widowControl/>
              <w:jc w:val="left"/>
              <w:rPr>
                <w:rFonts w:ascii="宋体" w:hAnsi="宋体" w:cs="宋体"/>
                <w:color w:val="auto"/>
                <w:kern w:val="0"/>
                <w:sz w:val="24"/>
                <w:szCs w:val="24"/>
              </w:rPr>
            </w:pPr>
          </w:p>
        </w:tc>
        <w:tc>
          <w:tcPr>
            <w:tcW w:w="943" w:type="dxa"/>
            <w:vMerge w:val="continue"/>
            <w:tcBorders>
              <w:top w:val="single" w:color="auto" w:sz="0" w:space="0"/>
              <w:left w:val="single" w:color="auto" w:sz="0" w:space="0"/>
              <w:bottom w:val="inset" w:color="auto" w:sz="8" w:space="0"/>
              <w:right w:val="single" w:color="auto" w:sz="8" w:space="0"/>
            </w:tcBorders>
            <w:noWrap w:val="0"/>
            <w:vAlign w:val="center"/>
          </w:tcPr>
          <w:p>
            <w:pPr>
              <w:widowControl/>
              <w:jc w:val="left"/>
              <w:rPr>
                <w:rFonts w:ascii="宋体" w:hAnsi="宋体" w:cs="宋体"/>
                <w:color w:val="auto"/>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cs="宋体"/>
                <w:color w:val="auto"/>
                <w:kern w:val="0"/>
                <w:sz w:val="24"/>
                <w:szCs w:val="24"/>
              </w:rPr>
            </w:pPr>
            <w:r>
              <w:rPr>
                <w:rFonts w:hint="eastAsia" w:ascii="宋体" w:hAnsi="宋体" w:cs="宋体"/>
                <w:color w:val="auto"/>
                <w:kern w:val="0"/>
                <w:sz w:val="20"/>
                <w:szCs w:val="20"/>
              </w:rPr>
              <w:t>4.无正当理由大量反复申请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cs="宋体"/>
                <w:color w:val="auto"/>
                <w:kern w:val="0"/>
                <w:sz w:val="20"/>
                <w:szCs w:val="20"/>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cs="宋体"/>
                <w:color w:val="auto"/>
                <w:kern w:val="0"/>
                <w:sz w:val="20"/>
                <w:szCs w:val="20"/>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cs="宋体"/>
                <w:color w:val="auto"/>
                <w:kern w:val="0"/>
                <w:sz w:val="20"/>
                <w:szCs w:val="20"/>
              </w:rPr>
            </w:pPr>
            <w:r>
              <w:rPr>
                <w:rFonts w:hint="eastAsia" w:cs="宋体"/>
                <w:color w:val="auto"/>
                <w:kern w:val="0"/>
                <w:sz w:val="20"/>
                <w:szCs w:val="20"/>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cs="宋体"/>
                <w:color w:val="auto"/>
                <w:kern w:val="0"/>
                <w:sz w:val="20"/>
                <w:szCs w:val="20"/>
              </w:rPr>
            </w:pPr>
            <w:r>
              <w:rPr>
                <w:rFonts w:hint="eastAsia" w:cs="宋体"/>
                <w:color w:val="auto"/>
                <w:kern w:val="0"/>
                <w:sz w:val="20"/>
                <w:szCs w:val="20"/>
              </w:rPr>
              <w:t>0</w:t>
            </w:r>
          </w:p>
        </w:tc>
      </w:tr>
      <w:tr>
        <w:tblPrEx>
          <w:tblCellMar>
            <w:top w:w="0" w:type="dxa"/>
            <w:left w:w="0" w:type="dxa"/>
            <w:bottom w:w="0" w:type="dxa"/>
            <w:right w:w="0" w:type="dxa"/>
          </w:tblCellMar>
        </w:tblPrEx>
        <w:trPr>
          <w:trHeight w:val="779" w:hRule="atLeast"/>
          <w:jc w:val="center"/>
        </w:trPr>
        <w:tc>
          <w:tcPr>
            <w:tcW w:w="768" w:type="dxa"/>
            <w:vMerge w:val="continue"/>
            <w:tcBorders>
              <w:top w:val="single" w:color="auto" w:sz="0" w:space="0"/>
              <w:left w:val="single" w:color="auto" w:sz="8" w:space="0"/>
              <w:bottom w:val="inset" w:color="auto" w:sz="8" w:space="0"/>
              <w:right w:val="single" w:color="auto" w:sz="8" w:space="0"/>
            </w:tcBorders>
            <w:noWrap w:val="0"/>
            <w:vAlign w:val="center"/>
          </w:tcPr>
          <w:p>
            <w:pPr>
              <w:widowControl/>
              <w:jc w:val="left"/>
              <w:rPr>
                <w:rFonts w:ascii="宋体" w:hAnsi="宋体" w:cs="宋体"/>
                <w:color w:val="auto"/>
                <w:kern w:val="0"/>
                <w:sz w:val="24"/>
                <w:szCs w:val="24"/>
              </w:rPr>
            </w:pPr>
          </w:p>
        </w:tc>
        <w:tc>
          <w:tcPr>
            <w:tcW w:w="943" w:type="dxa"/>
            <w:vMerge w:val="continue"/>
            <w:tcBorders>
              <w:top w:val="single" w:color="auto" w:sz="0" w:space="0"/>
              <w:left w:val="single" w:color="auto" w:sz="0" w:space="0"/>
              <w:bottom w:val="inset" w:color="auto" w:sz="8" w:space="0"/>
              <w:right w:val="single" w:color="auto" w:sz="8" w:space="0"/>
            </w:tcBorders>
            <w:noWrap w:val="0"/>
            <w:vAlign w:val="center"/>
          </w:tcPr>
          <w:p>
            <w:pPr>
              <w:widowControl/>
              <w:jc w:val="left"/>
              <w:rPr>
                <w:rFonts w:ascii="宋体" w:hAnsi="宋体" w:cs="宋体"/>
                <w:color w:val="auto"/>
                <w:kern w:val="0"/>
                <w:sz w:val="24"/>
                <w:szCs w:val="24"/>
              </w:rPr>
            </w:pPr>
          </w:p>
        </w:tc>
        <w:tc>
          <w:tcPr>
            <w:tcW w:w="3220" w:type="dxa"/>
            <w:tcBorders>
              <w:top w:val="single" w:color="auto" w:sz="0"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pPr>
              <w:widowControl/>
              <w:rPr>
                <w:rFonts w:ascii="宋体" w:hAnsi="宋体" w:cs="宋体"/>
                <w:color w:val="auto"/>
                <w:kern w:val="0"/>
                <w:sz w:val="24"/>
                <w:szCs w:val="24"/>
              </w:rPr>
            </w:pPr>
            <w:r>
              <w:rPr>
                <w:rFonts w:hint="eastAsia" w:ascii="宋体" w:hAnsi="宋体" w:cs="宋体"/>
                <w:color w:val="auto"/>
                <w:kern w:val="0"/>
                <w:sz w:val="20"/>
                <w:szCs w:val="20"/>
              </w:rPr>
              <w:t>5.要求行政机关确认或重新出具已获取信息</w:t>
            </w:r>
          </w:p>
        </w:tc>
        <w:tc>
          <w:tcPr>
            <w:tcW w:w="688" w:type="dxa"/>
            <w:tcBorders>
              <w:top w:val="single" w:color="auto" w:sz="0"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single" w:color="auto" w:sz="0"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single" w:color="auto" w:sz="0"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single" w:color="auto" w:sz="0"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cs="宋体"/>
                <w:color w:val="auto"/>
                <w:kern w:val="0"/>
                <w:sz w:val="20"/>
                <w:szCs w:val="20"/>
              </w:rPr>
            </w:pPr>
            <w:r>
              <w:rPr>
                <w:rFonts w:hint="eastAsia" w:cs="宋体"/>
                <w:color w:val="auto"/>
                <w:kern w:val="0"/>
                <w:sz w:val="20"/>
                <w:szCs w:val="20"/>
              </w:rPr>
              <w:t>0</w:t>
            </w:r>
          </w:p>
        </w:tc>
        <w:tc>
          <w:tcPr>
            <w:tcW w:w="688" w:type="dxa"/>
            <w:tcBorders>
              <w:top w:val="single" w:color="auto" w:sz="0"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cs="宋体"/>
                <w:color w:val="auto"/>
                <w:kern w:val="0"/>
                <w:sz w:val="20"/>
                <w:szCs w:val="20"/>
              </w:rPr>
            </w:pPr>
            <w:r>
              <w:rPr>
                <w:rFonts w:hint="eastAsia" w:cs="宋体"/>
                <w:color w:val="auto"/>
                <w:kern w:val="0"/>
                <w:sz w:val="20"/>
                <w:szCs w:val="20"/>
              </w:rPr>
              <w:t>0</w:t>
            </w:r>
          </w:p>
        </w:tc>
        <w:tc>
          <w:tcPr>
            <w:tcW w:w="688" w:type="dxa"/>
            <w:tcBorders>
              <w:top w:val="single" w:color="auto" w:sz="0"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cs="宋体"/>
                <w:color w:val="auto"/>
                <w:kern w:val="0"/>
                <w:sz w:val="20"/>
                <w:szCs w:val="20"/>
              </w:rPr>
            </w:pPr>
            <w:r>
              <w:rPr>
                <w:rFonts w:hint="eastAsia" w:cs="宋体"/>
                <w:color w:val="auto"/>
                <w:kern w:val="0"/>
                <w:sz w:val="20"/>
                <w:szCs w:val="20"/>
              </w:rPr>
              <w:t>0</w:t>
            </w:r>
          </w:p>
        </w:tc>
        <w:tc>
          <w:tcPr>
            <w:tcW w:w="689" w:type="dxa"/>
            <w:tcBorders>
              <w:top w:val="single" w:color="auto" w:sz="0"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cs="宋体"/>
                <w:color w:val="auto"/>
                <w:kern w:val="0"/>
                <w:sz w:val="20"/>
                <w:szCs w:val="20"/>
              </w:rPr>
            </w:pPr>
            <w:r>
              <w:rPr>
                <w:rFonts w:hint="eastAsia" w:cs="宋体"/>
                <w:color w:val="auto"/>
                <w:kern w:val="0"/>
                <w:sz w:val="20"/>
                <w:szCs w:val="20"/>
              </w:rPr>
              <w:t>0</w:t>
            </w:r>
          </w:p>
        </w:tc>
      </w:tr>
      <w:tr>
        <w:tblPrEx>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noWrap w:val="0"/>
            <w:vAlign w:val="center"/>
          </w:tcPr>
          <w:p>
            <w:pPr>
              <w:widowControl/>
              <w:jc w:val="left"/>
              <w:rPr>
                <w:rFonts w:ascii="宋体" w:hAnsi="宋体" w:cs="宋体"/>
                <w:color w:val="auto"/>
                <w:kern w:val="0"/>
                <w:sz w:val="24"/>
                <w:szCs w:val="24"/>
              </w:rPr>
            </w:pPr>
          </w:p>
        </w:tc>
        <w:tc>
          <w:tcPr>
            <w:tcW w:w="943" w:type="dxa"/>
            <w:vMerge w:val="restart"/>
            <w:tcBorders>
              <w:top w:val="inset" w:color="auto" w:sz="8"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pPr>
              <w:widowControl/>
              <w:rPr>
                <w:rFonts w:hint="eastAsia" w:ascii="宋体" w:hAnsi="宋体" w:cs="宋体"/>
                <w:color w:val="auto"/>
                <w:kern w:val="0"/>
                <w:sz w:val="20"/>
                <w:szCs w:val="20"/>
              </w:rPr>
            </w:pPr>
            <w:r>
              <w:rPr>
                <w:rFonts w:hint="eastAsia" w:ascii="宋体" w:hAnsi="宋体" w:cs="宋体"/>
                <w:color w:val="auto"/>
                <w:kern w:val="0"/>
                <w:sz w:val="20"/>
                <w:szCs w:val="20"/>
              </w:rPr>
              <w:t>（六）其他处理</w:t>
            </w: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rPr>
                <w:rFonts w:hint="eastAsia" w:ascii="宋体" w:hAnsi="宋体" w:cs="宋体"/>
                <w:color w:val="auto"/>
                <w:kern w:val="0"/>
                <w:sz w:val="20"/>
                <w:szCs w:val="20"/>
              </w:rPr>
            </w:pPr>
            <w:r>
              <w:rPr>
                <w:rFonts w:hint="eastAsia" w:ascii="宋体" w:hAnsi="宋体" w:cs="宋体"/>
                <w:color w:val="auto"/>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cs="宋体"/>
                <w:color w:val="auto"/>
                <w:kern w:val="0"/>
                <w:sz w:val="20"/>
                <w:szCs w:val="20"/>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cs="宋体"/>
                <w:color w:val="auto"/>
                <w:kern w:val="0"/>
                <w:sz w:val="20"/>
                <w:szCs w:val="20"/>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cs="宋体"/>
                <w:color w:val="auto"/>
                <w:kern w:val="0"/>
                <w:sz w:val="20"/>
                <w:szCs w:val="20"/>
              </w:rPr>
            </w:pPr>
            <w:r>
              <w:rPr>
                <w:rFonts w:hint="eastAsia" w:cs="宋体"/>
                <w:color w:val="auto"/>
                <w:kern w:val="0"/>
                <w:sz w:val="20"/>
                <w:szCs w:val="20"/>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cs="宋体"/>
                <w:color w:val="auto"/>
                <w:kern w:val="0"/>
                <w:sz w:val="20"/>
                <w:szCs w:val="20"/>
              </w:rPr>
            </w:pPr>
            <w:r>
              <w:rPr>
                <w:rFonts w:hint="eastAsia" w:cs="宋体"/>
                <w:color w:val="auto"/>
                <w:kern w:val="0"/>
                <w:sz w:val="20"/>
                <w:szCs w:val="20"/>
              </w:rPr>
              <w:t>0</w:t>
            </w:r>
          </w:p>
        </w:tc>
      </w:tr>
      <w:tr>
        <w:tblPrEx>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noWrap w:val="0"/>
            <w:vAlign w:val="center"/>
          </w:tcPr>
          <w:p>
            <w:pPr>
              <w:widowControl/>
              <w:jc w:val="left"/>
              <w:rPr>
                <w:rFonts w:ascii="宋体" w:hAnsi="宋体" w:cs="宋体"/>
                <w:color w:val="auto"/>
                <w:kern w:val="0"/>
                <w:sz w:val="24"/>
                <w:szCs w:val="24"/>
              </w:rPr>
            </w:pPr>
          </w:p>
        </w:tc>
        <w:tc>
          <w:tcPr>
            <w:tcW w:w="943" w:type="dxa"/>
            <w:vMerge w:val="continue"/>
            <w:tcBorders>
              <w:top w:val="inset" w:color="auto" w:sz="8" w:space="0"/>
              <w:left w:val="single" w:color="auto" w:sz="0" w:space="0"/>
              <w:bottom w:val="inset" w:color="auto" w:sz="8" w:space="0"/>
              <w:right w:val="single" w:color="auto" w:sz="8" w:space="0"/>
            </w:tcBorders>
            <w:noWrap w:val="0"/>
            <w:vAlign w:val="center"/>
          </w:tcPr>
          <w:p>
            <w:pPr>
              <w:widowControl/>
              <w:rPr>
                <w:rFonts w:hint="eastAsia" w:ascii="宋体" w:hAnsi="宋体" w:cs="宋体"/>
                <w:color w:val="auto"/>
                <w:kern w:val="0"/>
                <w:sz w:val="20"/>
                <w:szCs w:val="20"/>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rPr>
                <w:rFonts w:hint="eastAsia" w:ascii="宋体" w:hAnsi="宋体" w:cs="宋体"/>
                <w:color w:val="auto"/>
                <w:kern w:val="0"/>
                <w:sz w:val="20"/>
                <w:szCs w:val="20"/>
              </w:rPr>
            </w:pPr>
            <w:r>
              <w:rPr>
                <w:rFonts w:hint="eastAsia" w:ascii="宋体" w:hAnsi="宋体" w:cs="宋体"/>
                <w:color w:val="auto"/>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cs="宋体"/>
                <w:color w:val="auto"/>
                <w:kern w:val="0"/>
                <w:sz w:val="20"/>
                <w:szCs w:val="20"/>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cs="宋体"/>
                <w:color w:val="auto"/>
                <w:kern w:val="0"/>
                <w:sz w:val="20"/>
                <w:szCs w:val="20"/>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cs="宋体"/>
                <w:color w:val="auto"/>
                <w:kern w:val="0"/>
                <w:sz w:val="20"/>
                <w:szCs w:val="20"/>
              </w:rPr>
            </w:pPr>
            <w:r>
              <w:rPr>
                <w:rFonts w:hint="eastAsia" w:cs="宋体"/>
                <w:color w:val="auto"/>
                <w:kern w:val="0"/>
                <w:sz w:val="20"/>
                <w:szCs w:val="20"/>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cs="宋体"/>
                <w:color w:val="auto"/>
                <w:kern w:val="0"/>
                <w:sz w:val="20"/>
                <w:szCs w:val="20"/>
              </w:rPr>
            </w:pPr>
            <w:r>
              <w:rPr>
                <w:rFonts w:hint="eastAsia" w:cs="宋体"/>
                <w:color w:val="auto"/>
                <w:kern w:val="0"/>
                <w:sz w:val="20"/>
                <w:szCs w:val="20"/>
              </w:rPr>
              <w:t>0</w:t>
            </w:r>
          </w:p>
        </w:tc>
      </w:tr>
      <w:tr>
        <w:tblPrEx>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noWrap w:val="0"/>
            <w:vAlign w:val="center"/>
          </w:tcPr>
          <w:p>
            <w:pPr>
              <w:widowControl/>
              <w:jc w:val="left"/>
              <w:rPr>
                <w:rFonts w:ascii="宋体" w:hAnsi="宋体" w:cs="宋体"/>
                <w:color w:val="auto"/>
                <w:kern w:val="0"/>
                <w:sz w:val="24"/>
                <w:szCs w:val="24"/>
              </w:rPr>
            </w:pPr>
          </w:p>
        </w:tc>
        <w:tc>
          <w:tcPr>
            <w:tcW w:w="943" w:type="dxa"/>
            <w:vMerge w:val="continue"/>
            <w:tcBorders>
              <w:top w:val="inset" w:color="auto" w:sz="8" w:space="0"/>
              <w:left w:val="single" w:color="auto" w:sz="0" w:space="0"/>
              <w:bottom w:val="inset" w:color="auto" w:sz="8" w:space="0"/>
              <w:right w:val="single" w:color="auto" w:sz="8" w:space="0"/>
            </w:tcBorders>
            <w:noWrap w:val="0"/>
            <w:vAlign w:val="center"/>
          </w:tcPr>
          <w:p>
            <w:pPr>
              <w:widowControl/>
              <w:rPr>
                <w:rFonts w:hint="eastAsia" w:ascii="宋体" w:hAnsi="宋体" w:cs="宋体"/>
                <w:color w:val="auto"/>
                <w:kern w:val="0"/>
                <w:sz w:val="20"/>
                <w:szCs w:val="20"/>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rPr>
                <w:rFonts w:hint="eastAsia" w:ascii="宋体" w:hAnsi="宋体" w:cs="宋体"/>
                <w:color w:val="auto"/>
                <w:kern w:val="0"/>
                <w:sz w:val="20"/>
                <w:szCs w:val="20"/>
              </w:rPr>
            </w:pPr>
            <w:r>
              <w:rPr>
                <w:rFonts w:hint="eastAsia" w:ascii="宋体" w:hAnsi="宋体" w:cs="宋体"/>
                <w:color w:val="auto"/>
                <w:kern w:val="0"/>
                <w:sz w:val="20"/>
                <w:szCs w:val="20"/>
              </w:rPr>
              <w:t>3.其他</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auto"/>
                <w:kern w:val="0"/>
                <w:sz w:val="24"/>
                <w:szCs w:val="24"/>
                <w:lang w:eastAsia="zh-CN"/>
              </w:rPr>
            </w:pPr>
            <w:r>
              <w:rPr>
                <w:rFonts w:hint="eastAsia" w:cs="宋体"/>
                <w:color w:val="auto"/>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cs="宋体"/>
                <w:color w:val="auto"/>
                <w:kern w:val="0"/>
                <w:sz w:val="20"/>
                <w:szCs w:val="20"/>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cs="宋体"/>
                <w:color w:val="auto"/>
                <w:kern w:val="0"/>
                <w:sz w:val="20"/>
                <w:szCs w:val="20"/>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cs="宋体"/>
                <w:color w:val="auto"/>
                <w:kern w:val="0"/>
                <w:sz w:val="20"/>
                <w:szCs w:val="20"/>
              </w:rPr>
            </w:pPr>
            <w:r>
              <w:rPr>
                <w:rFonts w:hint="eastAsia" w:cs="宋体"/>
                <w:color w:val="auto"/>
                <w:kern w:val="0"/>
                <w:sz w:val="20"/>
                <w:szCs w:val="20"/>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eastAsia="宋体" w:cs="宋体"/>
                <w:color w:val="auto"/>
                <w:kern w:val="0"/>
                <w:sz w:val="20"/>
                <w:szCs w:val="20"/>
                <w:lang w:eastAsia="zh-CN"/>
              </w:rPr>
            </w:pPr>
            <w:r>
              <w:rPr>
                <w:rFonts w:hint="eastAsia" w:cs="宋体"/>
                <w:color w:val="auto"/>
                <w:kern w:val="0"/>
                <w:sz w:val="20"/>
                <w:szCs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noWrap w:val="0"/>
            <w:vAlign w:val="center"/>
          </w:tcPr>
          <w:p>
            <w:pPr>
              <w:widowControl/>
              <w:jc w:val="left"/>
              <w:rPr>
                <w:rFonts w:ascii="宋体" w:hAnsi="宋体" w:cs="宋体"/>
                <w:color w:val="auto"/>
                <w:kern w:val="0"/>
                <w:sz w:val="24"/>
                <w:szCs w:val="24"/>
              </w:rPr>
            </w:pPr>
          </w:p>
        </w:tc>
        <w:tc>
          <w:tcPr>
            <w:tcW w:w="4163"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color w:val="auto"/>
                <w:kern w:val="0"/>
                <w:sz w:val="24"/>
                <w:szCs w:val="24"/>
              </w:rPr>
            </w:pPr>
            <w:r>
              <w:rPr>
                <w:rFonts w:hint="eastAsia" w:ascii="宋体" w:hAnsi="宋体" w:cs="宋体"/>
                <w:color w:val="auto"/>
                <w:kern w:val="0"/>
                <w:sz w:val="20"/>
                <w:szCs w:val="20"/>
              </w:rPr>
              <w:t>（七）总计</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auto"/>
                <w:kern w:val="0"/>
                <w:sz w:val="24"/>
                <w:szCs w:val="24"/>
                <w:lang w:val="en-US" w:eastAsia="zh-CN"/>
              </w:rPr>
            </w:pPr>
            <w:r>
              <w:rPr>
                <w:rFonts w:hint="eastAsia" w:cs="宋体"/>
                <w:color w:val="000000" w:themeColor="text1"/>
                <w:kern w:val="0"/>
                <w:sz w:val="20"/>
                <w:szCs w:val="20"/>
                <w:lang w:val="en-US" w:eastAsia="zh-CN"/>
                <w14:textFill>
                  <w14:solidFill>
                    <w14:schemeClr w14:val="tx1"/>
                  </w14:solidFill>
                </w14:textFill>
              </w:rPr>
              <w:t>1</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cs="宋体"/>
                <w:color w:val="auto"/>
                <w:kern w:val="0"/>
                <w:sz w:val="20"/>
                <w:szCs w:val="20"/>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cs="宋体"/>
                <w:color w:val="auto"/>
                <w:kern w:val="0"/>
                <w:sz w:val="20"/>
                <w:szCs w:val="20"/>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cs="宋体"/>
                <w:color w:val="auto"/>
                <w:kern w:val="0"/>
                <w:sz w:val="20"/>
                <w:szCs w:val="20"/>
              </w:rPr>
            </w:pPr>
            <w:r>
              <w:rPr>
                <w:rFonts w:hint="eastAsia" w:cs="宋体"/>
                <w:color w:val="auto"/>
                <w:kern w:val="0"/>
                <w:sz w:val="20"/>
                <w:szCs w:val="20"/>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eastAsia="宋体" w:cs="宋体"/>
                <w:color w:val="auto"/>
                <w:kern w:val="0"/>
                <w:sz w:val="20"/>
                <w:szCs w:val="20"/>
                <w:lang w:val="en-US" w:eastAsia="zh-CN"/>
              </w:rPr>
            </w:pPr>
            <w:r>
              <w:rPr>
                <w:rFonts w:hint="eastAsia" w:cs="宋体"/>
                <w:color w:val="000000" w:themeColor="text1"/>
                <w:kern w:val="0"/>
                <w:sz w:val="20"/>
                <w:szCs w:val="20"/>
                <w:lang w:val="en-US" w:eastAsia="zh-CN"/>
                <w14:textFill>
                  <w14:solidFill>
                    <w14:schemeClr w14:val="tx1"/>
                  </w14:solidFill>
                </w14:textFill>
              </w:rPr>
              <w:t>1</w:t>
            </w:r>
          </w:p>
        </w:tc>
      </w:tr>
      <w:tr>
        <w:tblPrEx>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color w:val="auto"/>
                <w:kern w:val="0"/>
                <w:sz w:val="24"/>
                <w:szCs w:val="24"/>
              </w:rPr>
            </w:pPr>
            <w:r>
              <w:rPr>
                <w:rFonts w:hint="eastAsia" w:ascii="宋体" w:hAnsi="宋体" w:cs="宋体"/>
                <w:color w:val="auto"/>
                <w:kern w:val="0"/>
                <w:sz w:val="20"/>
                <w:szCs w:val="20"/>
              </w:rPr>
              <w:t>四、结转下年度继续办理</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auto"/>
                <w:kern w:val="0"/>
                <w:sz w:val="24"/>
                <w:szCs w:val="24"/>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cs="宋体"/>
                <w:color w:val="auto"/>
                <w:kern w:val="0"/>
                <w:sz w:val="20"/>
                <w:szCs w:val="20"/>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cs="宋体"/>
                <w:color w:val="auto"/>
                <w:kern w:val="0"/>
                <w:sz w:val="20"/>
                <w:szCs w:val="20"/>
              </w:rPr>
            </w:pPr>
            <w:r>
              <w:rPr>
                <w:rFonts w:hint="eastAsia" w:cs="宋体"/>
                <w:color w:val="auto"/>
                <w:kern w:val="0"/>
                <w:sz w:val="20"/>
                <w:szCs w:val="20"/>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cs="宋体"/>
                <w:color w:val="auto"/>
                <w:kern w:val="0"/>
                <w:sz w:val="20"/>
                <w:szCs w:val="20"/>
              </w:rPr>
            </w:pPr>
            <w:r>
              <w:rPr>
                <w:rFonts w:hint="eastAsia" w:cs="宋体"/>
                <w:color w:val="auto"/>
                <w:kern w:val="0"/>
                <w:sz w:val="20"/>
                <w:szCs w:val="20"/>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cs="宋体"/>
                <w:color w:val="auto"/>
                <w:kern w:val="0"/>
                <w:sz w:val="20"/>
                <w:szCs w:val="20"/>
              </w:rPr>
            </w:pPr>
            <w:r>
              <w:rPr>
                <w:rFonts w:hint="eastAsia" w:cs="宋体"/>
                <w:color w:val="auto"/>
                <w:kern w:val="0"/>
                <w:sz w:val="20"/>
                <w:szCs w:val="20"/>
              </w:rPr>
              <w:t>0</w:t>
            </w:r>
          </w:p>
        </w:tc>
      </w:tr>
    </w:tbl>
    <w:p>
      <w:pPr>
        <w:numPr>
          <w:ilvl w:val="0"/>
          <w:numId w:val="1"/>
        </w:numPr>
        <w:ind w:left="0" w:leftChars="0" w:firstLine="640" w:firstLineChars="200"/>
        <w:rPr>
          <w:rFonts w:hint="eastAsia" w:ascii="黑体" w:hAnsi="黑体" w:eastAsia="黑体"/>
          <w:sz w:val="32"/>
          <w:szCs w:val="32"/>
        </w:rPr>
      </w:pPr>
      <w:r>
        <w:rPr>
          <w:rFonts w:hint="eastAsia" w:ascii="黑体" w:hAnsi="黑体" w:eastAsia="黑体"/>
          <w:sz w:val="32"/>
          <w:szCs w:val="32"/>
        </w:rPr>
        <w:t>政府信息公开行政复议、行政诉讼情况</w:t>
      </w:r>
    </w:p>
    <w:tbl>
      <w:tblPr>
        <w:tblStyle w:val="4"/>
        <w:tblW w:w="9748" w:type="dxa"/>
        <w:jc w:val="center"/>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auto"/>
                <w:kern w:val="0"/>
                <w:sz w:val="24"/>
                <w:szCs w:val="24"/>
              </w:rPr>
            </w:pPr>
            <w:r>
              <w:rPr>
                <w:rFonts w:hint="eastAsia" w:ascii="宋体" w:hAnsi="宋体" w:cs="宋体"/>
                <w:color w:val="auto"/>
                <w:kern w:val="0"/>
                <w:sz w:val="20"/>
                <w:szCs w:val="20"/>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auto"/>
                <w:kern w:val="0"/>
                <w:sz w:val="24"/>
                <w:szCs w:val="24"/>
              </w:rPr>
            </w:pPr>
            <w:r>
              <w:rPr>
                <w:rFonts w:hint="eastAsia" w:ascii="宋体" w:hAnsi="宋体" w:cs="宋体"/>
                <w:color w:val="auto"/>
                <w:kern w:val="0"/>
                <w:sz w:val="20"/>
                <w:szCs w:val="20"/>
              </w:rPr>
              <w:t>行政诉讼</w:t>
            </w:r>
          </w:p>
        </w:tc>
      </w:tr>
      <w:tr>
        <w:tblPrEx>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auto"/>
                <w:kern w:val="0"/>
                <w:sz w:val="24"/>
                <w:szCs w:val="24"/>
              </w:rPr>
            </w:pPr>
            <w:r>
              <w:rPr>
                <w:rFonts w:hint="eastAsia" w:ascii="宋体" w:hAnsi="宋体" w:cs="宋体"/>
                <w:color w:val="auto"/>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auto"/>
                <w:kern w:val="0"/>
                <w:sz w:val="24"/>
                <w:szCs w:val="24"/>
              </w:rPr>
            </w:pPr>
            <w:r>
              <w:rPr>
                <w:rFonts w:hint="eastAsia" w:ascii="宋体" w:hAnsi="宋体" w:cs="宋体"/>
                <w:color w:val="auto"/>
                <w:kern w:val="0"/>
                <w:sz w:val="20"/>
                <w:szCs w:val="20"/>
              </w:rPr>
              <w:t>结果</w:t>
            </w:r>
            <w:r>
              <w:rPr>
                <w:rFonts w:hint="eastAsia" w:ascii="宋体" w:hAnsi="宋体" w:cs="宋体"/>
                <w:color w:val="auto"/>
                <w:kern w:val="0"/>
                <w:sz w:val="20"/>
                <w:szCs w:val="20"/>
              </w:rPr>
              <w:br w:type="textWrapping"/>
            </w:r>
            <w:r>
              <w:rPr>
                <w:rFonts w:hint="eastAsia" w:ascii="宋体" w:hAnsi="宋体" w:cs="宋体"/>
                <w:color w:val="auto"/>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auto"/>
                <w:kern w:val="0"/>
                <w:sz w:val="24"/>
                <w:szCs w:val="24"/>
              </w:rPr>
            </w:pPr>
            <w:r>
              <w:rPr>
                <w:rFonts w:hint="eastAsia" w:ascii="宋体" w:hAnsi="宋体" w:cs="宋体"/>
                <w:color w:val="auto"/>
                <w:kern w:val="0"/>
                <w:sz w:val="20"/>
                <w:szCs w:val="20"/>
              </w:rPr>
              <w:t>其他</w:t>
            </w:r>
            <w:r>
              <w:rPr>
                <w:rFonts w:hint="eastAsia" w:ascii="宋体" w:hAnsi="宋体" w:cs="宋体"/>
                <w:color w:val="auto"/>
                <w:kern w:val="0"/>
                <w:sz w:val="20"/>
                <w:szCs w:val="20"/>
              </w:rPr>
              <w:br w:type="textWrapping"/>
            </w:r>
            <w:r>
              <w:rPr>
                <w:rFonts w:hint="eastAsia" w:ascii="宋体" w:hAnsi="宋体" w:cs="宋体"/>
                <w:color w:val="auto"/>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auto"/>
                <w:kern w:val="0"/>
                <w:sz w:val="24"/>
                <w:szCs w:val="24"/>
              </w:rPr>
            </w:pPr>
            <w:r>
              <w:rPr>
                <w:rFonts w:hint="eastAsia" w:ascii="宋体" w:hAnsi="宋体" w:cs="宋体"/>
                <w:color w:val="auto"/>
                <w:kern w:val="0"/>
                <w:sz w:val="20"/>
                <w:szCs w:val="20"/>
              </w:rPr>
              <w:t>尚未</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auto"/>
                <w:kern w:val="0"/>
                <w:sz w:val="24"/>
                <w:szCs w:val="24"/>
              </w:rPr>
            </w:pPr>
            <w:r>
              <w:rPr>
                <w:rFonts w:hint="eastAsia" w:ascii="宋体" w:hAnsi="宋体" w:cs="宋体"/>
                <w:color w:val="auto"/>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auto"/>
                <w:kern w:val="0"/>
                <w:sz w:val="24"/>
                <w:szCs w:val="24"/>
              </w:rPr>
            </w:pPr>
            <w:r>
              <w:rPr>
                <w:rFonts w:hint="eastAsia" w:ascii="宋体" w:hAnsi="宋体" w:cs="宋体"/>
                <w:color w:val="auto"/>
                <w:kern w:val="0"/>
                <w:sz w:val="20"/>
                <w:szCs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auto"/>
                <w:kern w:val="0"/>
                <w:sz w:val="24"/>
                <w:szCs w:val="24"/>
              </w:rPr>
            </w:pPr>
            <w:r>
              <w:rPr>
                <w:rFonts w:hint="eastAsia" w:ascii="宋体" w:hAnsi="宋体" w:cs="宋体"/>
                <w:color w:val="auto"/>
                <w:kern w:val="0"/>
                <w:sz w:val="20"/>
                <w:szCs w:val="20"/>
              </w:rPr>
              <w:t>复议后起诉</w:t>
            </w:r>
          </w:p>
        </w:tc>
      </w:tr>
      <w:tr>
        <w:tblPrEx>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color w:val="auto"/>
                <w:kern w:val="0"/>
                <w:sz w:val="24"/>
                <w:szCs w:val="24"/>
              </w:rPr>
            </w:pPr>
          </w:p>
        </w:tc>
        <w:tc>
          <w:tcPr>
            <w:tcW w:w="64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color w:val="auto"/>
                <w:kern w:val="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color w:val="auto"/>
                <w:kern w:val="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color w:val="auto"/>
                <w:kern w:val="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color w:val="auto"/>
                <w:kern w:val="0"/>
                <w:sz w:val="24"/>
                <w:szCs w:val="24"/>
              </w:rPr>
            </w:pP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auto"/>
                <w:kern w:val="0"/>
                <w:sz w:val="24"/>
                <w:szCs w:val="24"/>
              </w:rPr>
            </w:pPr>
            <w:r>
              <w:rPr>
                <w:rFonts w:hint="eastAsia" w:ascii="宋体" w:hAnsi="宋体" w:cs="宋体"/>
                <w:color w:val="auto"/>
                <w:kern w:val="0"/>
                <w:sz w:val="20"/>
                <w:szCs w:val="20"/>
              </w:rPr>
              <w:t>结果</w:t>
            </w:r>
            <w:r>
              <w:rPr>
                <w:rFonts w:hint="eastAsia" w:ascii="宋体" w:hAnsi="宋体" w:cs="宋体"/>
                <w:color w:val="auto"/>
                <w:kern w:val="0"/>
                <w:sz w:val="20"/>
                <w:szCs w:val="20"/>
              </w:rPr>
              <w:br w:type="textWrapping"/>
            </w:r>
            <w:r>
              <w:rPr>
                <w:rFonts w:hint="eastAsia" w:ascii="宋体" w:hAnsi="宋体" w:cs="宋体"/>
                <w:color w:val="auto"/>
                <w:kern w:val="0"/>
                <w:sz w:val="20"/>
                <w:szCs w:val="20"/>
              </w:rPr>
              <w:t>维持</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auto"/>
                <w:kern w:val="0"/>
                <w:sz w:val="24"/>
                <w:szCs w:val="24"/>
              </w:rPr>
            </w:pPr>
            <w:r>
              <w:rPr>
                <w:rFonts w:hint="eastAsia" w:ascii="宋体" w:hAnsi="宋体" w:cs="宋体"/>
                <w:color w:val="auto"/>
                <w:kern w:val="0"/>
                <w:sz w:val="20"/>
                <w:szCs w:val="20"/>
              </w:rPr>
              <w:t>结果</w:t>
            </w:r>
            <w:r>
              <w:rPr>
                <w:rFonts w:hint="eastAsia" w:ascii="宋体" w:hAnsi="宋体" w:cs="宋体"/>
                <w:color w:val="auto"/>
                <w:kern w:val="0"/>
                <w:sz w:val="20"/>
                <w:szCs w:val="20"/>
              </w:rPr>
              <w:br w:type="textWrapping"/>
            </w:r>
            <w:r>
              <w:rPr>
                <w:rFonts w:hint="eastAsia" w:ascii="宋体" w:hAnsi="宋体" w:cs="宋体"/>
                <w:color w:val="auto"/>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auto"/>
                <w:kern w:val="0"/>
                <w:sz w:val="24"/>
                <w:szCs w:val="24"/>
              </w:rPr>
            </w:pPr>
            <w:r>
              <w:rPr>
                <w:rFonts w:hint="eastAsia" w:ascii="宋体" w:hAnsi="宋体" w:cs="宋体"/>
                <w:color w:val="auto"/>
                <w:kern w:val="0"/>
                <w:sz w:val="20"/>
                <w:szCs w:val="20"/>
              </w:rPr>
              <w:t>其他</w:t>
            </w:r>
            <w:r>
              <w:rPr>
                <w:rFonts w:hint="eastAsia" w:ascii="宋体" w:hAnsi="宋体" w:cs="宋体"/>
                <w:color w:val="auto"/>
                <w:kern w:val="0"/>
                <w:sz w:val="20"/>
                <w:szCs w:val="20"/>
              </w:rPr>
              <w:br w:type="textWrapping"/>
            </w:r>
            <w:r>
              <w:rPr>
                <w:rFonts w:hint="eastAsia" w:ascii="宋体" w:hAnsi="宋体" w:cs="宋体"/>
                <w:color w:val="auto"/>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auto"/>
                <w:kern w:val="0"/>
                <w:sz w:val="24"/>
                <w:szCs w:val="24"/>
              </w:rPr>
            </w:pPr>
            <w:r>
              <w:rPr>
                <w:rFonts w:hint="eastAsia" w:ascii="宋体" w:hAnsi="宋体" w:cs="宋体"/>
                <w:color w:val="auto"/>
                <w:kern w:val="0"/>
                <w:sz w:val="20"/>
                <w:szCs w:val="20"/>
              </w:rPr>
              <w:t>尚未</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auto"/>
                <w:kern w:val="0"/>
                <w:sz w:val="24"/>
                <w:szCs w:val="24"/>
              </w:rPr>
            </w:pPr>
            <w:r>
              <w:rPr>
                <w:rFonts w:hint="eastAsia" w:ascii="宋体" w:hAnsi="宋体" w:cs="宋体"/>
                <w:color w:val="auto"/>
                <w:kern w:val="0"/>
                <w:sz w:val="20"/>
                <w:szCs w:val="20"/>
              </w:rPr>
              <w:t>总计</w:t>
            </w:r>
          </w:p>
        </w:tc>
        <w:tc>
          <w:tcPr>
            <w:tcW w:w="6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auto"/>
                <w:kern w:val="0"/>
                <w:sz w:val="24"/>
                <w:szCs w:val="24"/>
              </w:rPr>
            </w:pPr>
            <w:r>
              <w:rPr>
                <w:rFonts w:hint="eastAsia" w:ascii="宋体" w:hAnsi="宋体" w:cs="宋体"/>
                <w:color w:val="auto"/>
                <w:kern w:val="0"/>
                <w:sz w:val="20"/>
                <w:szCs w:val="20"/>
              </w:rPr>
              <w:t>结果</w:t>
            </w:r>
            <w:r>
              <w:rPr>
                <w:rFonts w:hint="eastAsia" w:ascii="宋体" w:hAnsi="宋体" w:cs="宋体"/>
                <w:color w:val="auto"/>
                <w:kern w:val="0"/>
                <w:sz w:val="20"/>
                <w:szCs w:val="20"/>
              </w:rPr>
              <w:br w:type="textWrapping"/>
            </w:r>
            <w:r>
              <w:rPr>
                <w:rFonts w:hint="eastAsia" w:ascii="宋体" w:hAnsi="宋体" w:cs="宋体"/>
                <w:color w:val="auto"/>
                <w:kern w:val="0"/>
                <w:sz w:val="20"/>
                <w:szCs w:val="20"/>
              </w:rPr>
              <w:t>维持</w:t>
            </w:r>
          </w:p>
        </w:tc>
        <w:tc>
          <w:tcPr>
            <w:tcW w:w="6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auto"/>
                <w:kern w:val="0"/>
                <w:sz w:val="24"/>
                <w:szCs w:val="24"/>
              </w:rPr>
            </w:pPr>
            <w:r>
              <w:rPr>
                <w:rFonts w:hint="eastAsia" w:ascii="宋体" w:hAnsi="宋体" w:cs="宋体"/>
                <w:color w:val="auto"/>
                <w:kern w:val="0"/>
                <w:sz w:val="20"/>
                <w:szCs w:val="20"/>
              </w:rPr>
              <w:t>结果</w:t>
            </w:r>
            <w:r>
              <w:rPr>
                <w:rFonts w:hint="eastAsia" w:ascii="宋体" w:hAnsi="宋体" w:cs="宋体"/>
                <w:color w:val="auto"/>
                <w:kern w:val="0"/>
                <w:sz w:val="20"/>
                <w:szCs w:val="20"/>
              </w:rPr>
              <w:br w:type="textWrapping"/>
            </w:r>
            <w:r>
              <w:rPr>
                <w:rFonts w:hint="eastAsia" w:ascii="宋体" w:hAnsi="宋体" w:cs="宋体"/>
                <w:color w:val="auto"/>
                <w:kern w:val="0"/>
                <w:sz w:val="20"/>
                <w:szCs w:val="20"/>
              </w:rPr>
              <w:t>纠正</w:t>
            </w:r>
          </w:p>
        </w:tc>
        <w:tc>
          <w:tcPr>
            <w:tcW w:w="6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auto"/>
                <w:kern w:val="0"/>
                <w:sz w:val="24"/>
                <w:szCs w:val="24"/>
              </w:rPr>
            </w:pPr>
            <w:r>
              <w:rPr>
                <w:rFonts w:hint="eastAsia" w:ascii="宋体" w:hAnsi="宋体" w:cs="宋体"/>
                <w:color w:val="auto"/>
                <w:kern w:val="0"/>
                <w:sz w:val="20"/>
                <w:szCs w:val="20"/>
              </w:rPr>
              <w:t>其他</w:t>
            </w:r>
            <w:r>
              <w:rPr>
                <w:rFonts w:hint="eastAsia" w:ascii="宋体" w:hAnsi="宋体" w:cs="宋体"/>
                <w:color w:val="auto"/>
                <w:kern w:val="0"/>
                <w:sz w:val="20"/>
                <w:szCs w:val="20"/>
              </w:rPr>
              <w:br w:type="textWrapping"/>
            </w:r>
            <w:r>
              <w:rPr>
                <w:rFonts w:hint="eastAsia" w:ascii="宋体" w:hAnsi="宋体" w:cs="宋体"/>
                <w:color w:val="auto"/>
                <w:kern w:val="0"/>
                <w:sz w:val="20"/>
                <w:szCs w:val="20"/>
              </w:rPr>
              <w:t>结果</w:t>
            </w:r>
          </w:p>
        </w:tc>
        <w:tc>
          <w:tcPr>
            <w:tcW w:w="6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auto"/>
                <w:kern w:val="0"/>
                <w:sz w:val="24"/>
                <w:szCs w:val="24"/>
              </w:rPr>
            </w:pPr>
            <w:r>
              <w:rPr>
                <w:rFonts w:hint="eastAsia" w:ascii="宋体" w:hAnsi="宋体" w:cs="宋体"/>
                <w:color w:val="auto"/>
                <w:kern w:val="0"/>
                <w:sz w:val="20"/>
                <w:szCs w:val="20"/>
              </w:rPr>
              <w:t>尚未</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审结</w:t>
            </w:r>
          </w:p>
        </w:tc>
        <w:tc>
          <w:tcPr>
            <w:tcW w:w="6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auto"/>
                <w:kern w:val="0"/>
                <w:sz w:val="24"/>
                <w:szCs w:val="24"/>
              </w:rPr>
            </w:pPr>
            <w:r>
              <w:rPr>
                <w:rFonts w:hint="eastAsia" w:ascii="宋体" w:hAnsi="宋体" w:cs="宋体"/>
                <w:color w:val="auto"/>
                <w:kern w:val="0"/>
                <w:sz w:val="20"/>
                <w:szCs w:val="20"/>
              </w:rPr>
              <w:t>总计</w:t>
            </w:r>
          </w:p>
        </w:tc>
      </w:tr>
      <w:tr>
        <w:tblPrEx>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cs="宋体"/>
                <w:color w:val="000000" w:themeColor="text1"/>
                <w:kern w:val="0"/>
                <w:sz w:val="20"/>
                <w:szCs w:val="20"/>
                <w:lang w:val="en-US" w:eastAsia="zh-CN"/>
                <w14:textFill>
                  <w14:solidFill>
                    <w14:schemeClr w14:val="tx1"/>
                  </w14:solidFill>
                </w14:textFill>
              </w:rPr>
            </w:pPr>
            <w:r>
              <w:rPr>
                <w:rFonts w:hint="eastAsia" w:cs="宋体"/>
                <w:color w:val="000000" w:themeColor="text1"/>
                <w:kern w:val="0"/>
                <w:sz w:val="20"/>
                <w:szCs w:val="20"/>
                <w:lang w:val="en-US" w:eastAsia="zh-CN"/>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cs="宋体"/>
                <w:color w:val="000000" w:themeColor="text1"/>
                <w:kern w:val="0"/>
                <w:sz w:val="20"/>
                <w:szCs w:val="20"/>
                <w:lang w:val="en-US" w:eastAsia="zh-CN"/>
                <w14:textFill>
                  <w14:solidFill>
                    <w14:schemeClr w14:val="tx1"/>
                  </w14:solidFill>
                </w14:textFill>
              </w:rPr>
            </w:pPr>
            <w:r>
              <w:rPr>
                <w:rFonts w:hint="eastAsia" w:cs="宋体"/>
                <w:color w:val="000000" w:themeColor="text1"/>
                <w:kern w:val="0"/>
                <w:sz w:val="20"/>
                <w:szCs w:val="20"/>
                <w:lang w:val="en-US" w:eastAsia="zh-CN"/>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cs="宋体"/>
                <w:color w:val="000000" w:themeColor="text1"/>
                <w:kern w:val="0"/>
                <w:sz w:val="20"/>
                <w:szCs w:val="20"/>
                <w:lang w:val="en-US" w:eastAsia="zh-CN"/>
                <w14:textFill>
                  <w14:solidFill>
                    <w14:schemeClr w14:val="tx1"/>
                  </w14:solidFill>
                </w14:textFill>
              </w:rPr>
            </w:pPr>
            <w:r>
              <w:rPr>
                <w:rFonts w:hint="eastAsia" w:cs="宋体"/>
                <w:color w:val="000000" w:themeColor="text1"/>
                <w:kern w:val="0"/>
                <w:sz w:val="20"/>
                <w:szCs w:val="20"/>
                <w:lang w:val="en-US" w:eastAsia="zh-CN"/>
                <w14:textFill>
                  <w14:solidFill>
                    <w14:schemeClr w14:val="tx1"/>
                  </w14:solidFill>
                </w14:textFill>
              </w:rPr>
              <w:t>1</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cs="宋体"/>
                <w:color w:val="000000" w:themeColor="text1"/>
                <w:kern w:val="0"/>
                <w:sz w:val="20"/>
                <w:szCs w:val="20"/>
                <w:lang w:val="en-US" w:eastAsia="zh-CN"/>
                <w14:textFill>
                  <w14:solidFill>
                    <w14:schemeClr w14:val="tx1"/>
                  </w14:solidFill>
                </w14:textFill>
              </w:rPr>
            </w:pPr>
            <w:r>
              <w:rPr>
                <w:rFonts w:hint="eastAsia" w:cs="宋体"/>
                <w:color w:val="000000" w:themeColor="text1"/>
                <w:kern w:val="0"/>
                <w:sz w:val="20"/>
                <w:szCs w:val="20"/>
                <w:lang w:val="en-US" w:eastAsia="zh-CN"/>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cs="宋体"/>
                <w:color w:val="000000" w:themeColor="text1"/>
                <w:kern w:val="0"/>
                <w:sz w:val="20"/>
                <w:szCs w:val="20"/>
                <w:lang w:val="en-US" w:eastAsia="zh-CN"/>
                <w14:textFill>
                  <w14:solidFill>
                    <w14:schemeClr w14:val="tx1"/>
                  </w14:solidFill>
                </w14:textFill>
              </w:rPr>
            </w:pPr>
            <w:r>
              <w:rPr>
                <w:rFonts w:hint="eastAsia" w:cs="宋体"/>
                <w:color w:val="000000" w:themeColor="text1"/>
                <w:kern w:val="0"/>
                <w:sz w:val="20"/>
                <w:szCs w:val="20"/>
                <w:lang w:val="en-US" w:eastAsia="zh-CN"/>
                <w14:textFill>
                  <w14:solidFill>
                    <w14:schemeClr w14:val="tx1"/>
                  </w14:solidFill>
                </w14:textFill>
              </w:rPr>
              <w:t>1</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cs="宋体"/>
                <w:color w:val="000000" w:themeColor="text1"/>
                <w:kern w:val="0"/>
                <w:sz w:val="20"/>
                <w:szCs w:val="20"/>
                <w:lang w:val="en-US" w:eastAsia="zh-CN"/>
                <w14:textFill>
                  <w14:solidFill>
                    <w14:schemeClr w14:val="tx1"/>
                  </w14:solidFill>
                </w14:textFill>
              </w:rPr>
            </w:pPr>
            <w:r>
              <w:rPr>
                <w:rFonts w:hint="eastAsia" w:cs="宋体"/>
                <w:color w:val="000000" w:themeColor="text1"/>
                <w:kern w:val="0"/>
                <w:sz w:val="20"/>
                <w:szCs w:val="20"/>
                <w:lang w:val="en-US" w:eastAsia="zh-CN"/>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cs="宋体"/>
                <w:color w:val="000000" w:themeColor="text1"/>
                <w:kern w:val="0"/>
                <w:sz w:val="20"/>
                <w:szCs w:val="20"/>
                <w:lang w:val="en-US" w:eastAsia="zh-CN"/>
                <w14:textFill>
                  <w14:solidFill>
                    <w14:schemeClr w14:val="tx1"/>
                  </w14:solidFill>
                </w14:textFill>
              </w:rPr>
            </w:pPr>
            <w:r>
              <w:rPr>
                <w:rFonts w:hint="eastAsia" w:cs="宋体"/>
                <w:color w:val="000000" w:themeColor="text1"/>
                <w:kern w:val="0"/>
                <w:sz w:val="20"/>
                <w:szCs w:val="20"/>
                <w:lang w:val="en-US" w:eastAsia="zh-CN"/>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cs="宋体"/>
                <w:color w:val="000000" w:themeColor="text1"/>
                <w:kern w:val="0"/>
                <w:sz w:val="20"/>
                <w:szCs w:val="20"/>
                <w:lang w:val="en-US" w:eastAsia="zh-CN"/>
                <w14:textFill>
                  <w14:solidFill>
                    <w14:schemeClr w14:val="tx1"/>
                  </w14:solidFill>
                </w14:textFill>
              </w:rPr>
            </w:pPr>
            <w:r>
              <w:rPr>
                <w:rFonts w:hint="eastAsia" w:cs="宋体"/>
                <w:color w:val="000000" w:themeColor="text1"/>
                <w:kern w:val="0"/>
                <w:sz w:val="20"/>
                <w:szCs w:val="20"/>
                <w:lang w:val="en-US" w:eastAsia="zh-CN"/>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cs="宋体"/>
                <w:color w:val="000000" w:themeColor="text1"/>
                <w:kern w:val="0"/>
                <w:sz w:val="20"/>
                <w:szCs w:val="20"/>
                <w:lang w:val="en-US" w:eastAsia="zh-CN"/>
                <w14:textFill>
                  <w14:solidFill>
                    <w14:schemeClr w14:val="tx1"/>
                  </w14:solidFill>
                </w14:textFill>
              </w:rPr>
            </w:pPr>
            <w:r>
              <w:rPr>
                <w:rFonts w:hint="eastAsia" w:cs="宋体"/>
                <w:color w:val="000000" w:themeColor="text1"/>
                <w:kern w:val="0"/>
                <w:sz w:val="20"/>
                <w:szCs w:val="20"/>
                <w:lang w:val="en-US" w:eastAsia="zh-CN"/>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cs="宋体"/>
                <w:color w:val="000000" w:themeColor="text1"/>
                <w:kern w:val="0"/>
                <w:sz w:val="20"/>
                <w:szCs w:val="20"/>
                <w:lang w:val="en-US" w:eastAsia="zh-CN"/>
                <w14:textFill>
                  <w14:solidFill>
                    <w14:schemeClr w14:val="tx1"/>
                  </w14:solidFill>
                </w14:textFill>
              </w:rPr>
            </w:pPr>
            <w:r>
              <w:rPr>
                <w:rFonts w:hint="eastAsia" w:cs="宋体"/>
                <w:color w:val="000000" w:themeColor="text1"/>
                <w:kern w:val="0"/>
                <w:sz w:val="20"/>
                <w:szCs w:val="20"/>
                <w:lang w:val="en-US" w:eastAsia="zh-CN"/>
                <w14:textFill>
                  <w14:solidFill>
                    <w14:schemeClr w14:val="tx1"/>
                  </w14:solidFill>
                </w14:textFill>
              </w:rPr>
              <w:t>0</w:t>
            </w:r>
          </w:p>
        </w:tc>
        <w:tc>
          <w:tcPr>
            <w:tcW w:w="6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cs="宋体"/>
                <w:color w:val="000000" w:themeColor="text1"/>
                <w:kern w:val="0"/>
                <w:sz w:val="20"/>
                <w:szCs w:val="20"/>
                <w:lang w:val="en-US" w:eastAsia="zh-CN"/>
                <w14:textFill>
                  <w14:solidFill>
                    <w14:schemeClr w14:val="tx1"/>
                  </w14:solidFill>
                </w14:textFill>
              </w:rPr>
            </w:pPr>
            <w:r>
              <w:rPr>
                <w:rFonts w:hint="eastAsia" w:cs="宋体"/>
                <w:color w:val="000000" w:themeColor="text1"/>
                <w:kern w:val="0"/>
                <w:sz w:val="20"/>
                <w:szCs w:val="20"/>
                <w:lang w:val="en-US" w:eastAsia="zh-CN"/>
                <w14:textFill>
                  <w14:solidFill>
                    <w14:schemeClr w14:val="tx1"/>
                  </w14:solidFill>
                </w14:textFill>
              </w:rPr>
              <w:t>0</w:t>
            </w:r>
          </w:p>
        </w:tc>
        <w:tc>
          <w:tcPr>
            <w:tcW w:w="6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cs="宋体"/>
                <w:color w:val="000000" w:themeColor="text1"/>
                <w:kern w:val="0"/>
                <w:sz w:val="20"/>
                <w:szCs w:val="20"/>
                <w:lang w:val="en-US" w:eastAsia="zh-CN"/>
                <w14:textFill>
                  <w14:solidFill>
                    <w14:schemeClr w14:val="tx1"/>
                  </w14:solidFill>
                </w14:textFill>
              </w:rPr>
            </w:pPr>
            <w:r>
              <w:rPr>
                <w:rFonts w:hint="eastAsia" w:cs="宋体"/>
                <w:color w:val="000000" w:themeColor="text1"/>
                <w:kern w:val="0"/>
                <w:sz w:val="20"/>
                <w:szCs w:val="20"/>
                <w:lang w:val="en-US" w:eastAsia="zh-CN"/>
                <w14:textFill>
                  <w14:solidFill>
                    <w14:schemeClr w14:val="tx1"/>
                  </w14:solidFill>
                </w14:textFill>
              </w:rPr>
              <w:t>0</w:t>
            </w:r>
          </w:p>
        </w:tc>
        <w:tc>
          <w:tcPr>
            <w:tcW w:w="6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cs="宋体"/>
                <w:color w:val="000000" w:themeColor="text1"/>
                <w:kern w:val="0"/>
                <w:sz w:val="20"/>
                <w:szCs w:val="20"/>
                <w:lang w:val="en-US" w:eastAsia="zh-CN"/>
                <w14:textFill>
                  <w14:solidFill>
                    <w14:schemeClr w14:val="tx1"/>
                  </w14:solidFill>
                </w14:textFill>
              </w:rPr>
            </w:pPr>
            <w:r>
              <w:rPr>
                <w:rFonts w:hint="eastAsia" w:cs="宋体"/>
                <w:color w:val="000000" w:themeColor="text1"/>
                <w:kern w:val="0"/>
                <w:sz w:val="20"/>
                <w:szCs w:val="20"/>
                <w:lang w:val="en-US" w:eastAsia="zh-CN"/>
                <w14:textFill>
                  <w14:solidFill>
                    <w14:schemeClr w14:val="tx1"/>
                  </w14:solidFill>
                </w14:textFill>
              </w:rPr>
              <w:t>0</w:t>
            </w:r>
          </w:p>
        </w:tc>
        <w:tc>
          <w:tcPr>
            <w:tcW w:w="6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cs="宋体"/>
                <w:color w:val="000000" w:themeColor="text1"/>
                <w:kern w:val="0"/>
                <w:sz w:val="20"/>
                <w:szCs w:val="20"/>
                <w:lang w:val="en-US" w:eastAsia="zh-CN"/>
                <w14:textFill>
                  <w14:solidFill>
                    <w14:schemeClr w14:val="tx1"/>
                  </w14:solidFill>
                </w14:textFill>
              </w:rPr>
            </w:pPr>
            <w:r>
              <w:rPr>
                <w:rFonts w:hint="eastAsia" w:cs="宋体"/>
                <w:color w:val="000000" w:themeColor="text1"/>
                <w:kern w:val="0"/>
                <w:sz w:val="20"/>
                <w:szCs w:val="20"/>
                <w:lang w:val="en-US" w:eastAsia="zh-CN"/>
                <w14:textFill>
                  <w14:solidFill>
                    <w14:schemeClr w14:val="tx1"/>
                  </w14:solidFill>
                </w14:textFill>
              </w:rPr>
              <w:t>0</w:t>
            </w:r>
          </w:p>
        </w:tc>
        <w:tc>
          <w:tcPr>
            <w:tcW w:w="6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cs="宋体"/>
                <w:color w:val="000000" w:themeColor="text1"/>
                <w:kern w:val="0"/>
                <w:sz w:val="20"/>
                <w:szCs w:val="20"/>
                <w:lang w:val="en-US" w:eastAsia="zh-CN"/>
                <w14:textFill>
                  <w14:solidFill>
                    <w14:schemeClr w14:val="tx1"/>
                  </w14:solidFill>
                </w14:textFill>
              </w:rPr>
            </w:pPr>
            <w:r>
              <w:rPr>
                <w:rFonts w:hint="eastAsia" w:cs="宋体"/>
                <w:color w:val="000000" w:themeColor="text1"/>
                <w:kern w:val="0"/>
                <w:sz w:val="20"/>
                <w:szCs w:val="20"/>
                <w:lang w:val="en-US" w:eastAsia="zh-CN"/>
                <w14:textFill>
                  <w14:solidFill>
                    <w14:schemeClr w14:val="tx1"/>
                  </w14:solidFill>
                </w14:textFill>
              </w:rPr>
              <w:t>0</w:t>
            </w:r>
          </w:p>
        </w:tc>
      </w:tr>
    </w:tbl>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黑体" w:hAnsi="黑体" w:eastAsia="黑体"/>
          <w:color w:val="auto"/>
          <w:sz w:val="32"/>
          <w:szCs w:val="32"/>
          <w:lang w:eastAsia="zh-CN"/>
        </w:rPr>
      </w:pPr>
      <w:r>
        <w:rPr>
          <w:rFonts w:hint="eastAsia" w:ascii="黑体" w:hAnsi="黑体" w:eastAsia="黑体"/>
          <w:color w:val="auto"/>
          <w:sz w:val="32"/>
          <w:szCs w:val="32"/>
        </w:rPr>
        <w:t>五、存在的主要问题及改进情况</w:t>
      </w:r>
    </w:p>
    <w:p>
      <w:pPr>
        <w:numPr>
          <w:ilvl w:val="0"/>
          <w:numId w:val="0"/>
        </w:numPr>
        <w:spacing w:line="60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（一）存在的主要问题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黑体"/>
          <w:kern w:val="2"/>
          <w:sz w:val="32"/>
          <w:szCs w:val="32"/>
          <w:lang w:val="en-US" w:eastAsia="zh-CN" w:bidi="ar-SA"/>
        </w:rPr>
      </w:pPr>
      <w:r>
        <w:rPr>
          <w:rFonts w:hint="eastAsia" w:ascii="仿宋_GB2312" w:hAnsi="仿宋" w:eastAsia="仿宋_GB2312" w:cs="黑体"/>
          <w:kern w:val="2"/>
          <w:sz w:val="32"/>
          <w:szCs w:val="32"/>
          <w:lang w:val="en-US" w:eastAsia="zh-CN" w:bidi="ar-SA"/>
        </w:rPr>
        <w:t>一是部分公众对政府信息公开内容的关注度不高，导致政府信息公开内容未发挥出最大价值；二是因政府信息公开工作人员新旧更替，新接手的工作人员的业务能力和水平还需进一步提升。。</w:t>
      </w:r>
    </w:p>
    <w:p>
      <w:pPr>
        <w:numPr>
          <w:ilvl w:val="0"/>
          <w:numId w:val="0"/>
        </w:numPr>
        <w:spacing w:line="60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（二）改进情况</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仿宋_GB2312" w:hAnsi="仿宋" w:eastAsia="仿宋_GB2312" w:cs="黑体"/>
          <w:kern w:val="2"/>
          <w:sz w:val="32"/>
          <w:szCs w:val="32"/>
          <w:lang w:val="en-US" w:eastAsia="zh-CN" w:bidi="ar-SA"/>
        </w:rPr>
        <w:t>一是进一步创新政府信息公开宣传方式，可通过图文、视频、直播等多种形式展示工作动态、政策解读等信息，使政府信息传播可视、可读、可感，提升公众对政府信息公开内容的关注度；二是加大培训力度，提高工作人员对政府信息公开工作的思想认识，提升工作人员的能力素养，将政府信息公开工作与业务工作同研究、同部署、同落实，切实拔高政府信息公开工作的整体质效。</w:t>
      </w:r>
      <w:bookmarkStart w:id="0" w:name="_GoBack"/>
      <w:bookmarkEnd w:id="0"/>
      <w:r>
        <w:rPr>
          <w:rFonts w:hint="eastAsia" w:ascii="黑体" w:hAnsi="黑体" w:eastAsia="黑体"/>
          <w:sz w:val="32"/>
          <w:szCs w:val="32"/>
        </w:rPr>
        <w:t>六、其他需要报告的事项</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 w:eastAsia="仿宋_GB2312" w:cs="黑体"/>
          <w:kern w:val="2"/>
          <w:sz w:val="32"/>
          <w:szCs w:val="32"/>
          <w:lang w:val="en-US" w:eastAsia="zh-CN" w:bidi="ar-SA"/>
        </w:rPr>
      </w:pPr>
      <w:r>
        <w:rPr>
          <w:rFonts w:hint="eastAsia" w:ascii="仿宋_GB2312" w:hAnsi="仿宋" w:eastAsia="仿宋_GB2312" w:cs="黑体"/>
          <w:kern w:val="2"/>
          <w:sz w:val="32"/>
          <w:szCs w:val="32"/>
          <w:lang w:val="en-US" w:eastAsia="zh-CN" w:bidi="ar-SA"/>
        </w:rPr>
        <w:t>2024年，清镇市税务局不存在收取信息处理费的情况。</w:t>
      </w:r>
    </w:p>
    <w:p>
      <w:pPr>
        <w:keepNext w:val="0"/>
        <w:keepLines w:val="0"/>
        <w:pageBreakBefore w:val="0"/>
        <w:kinsoku/>
        <w:overflowPunct/>
        <w:topLinePunct w:val="0"/>
        <w:autoSpaceDE/>
        <w:autoSpaceDN/>
        <w:bidi w:val="0"/>
        <w:adjustRightInd/>
        <w:snapToGrid/>
        <w:spacing w:line="560" w:lineRule="exact"/>
        <w:jc w:val="right"/>
        <w:textAlignment w:val="auto"/>
        <w:rPr>
          <w:rFonts w:ascii="仿宋" w:hAnsi="仿宋" w:eastAsia="仿宋"/>
          <w:sz w:val="32"/>
          <w:szCs w:val="32"/>
        </w:rPr>
      </w:pPr>
    </w:p>
    <w:p>
      <w:pPr>
        <w:keepNext w:val="0"/>
        <w:keepLines w:val="0"/>
        <w:pageBreakBefore w:val="0"/>
        <w:kinsoku/>
        <w:overflowPunct/>
        <w:topLinePunct w:val="0"/>
        <w:autoSpaceDE/>
        <w:autoSpaceDN/>
        <w:bidi w:val="0"/>
        <w:adjustRightInd/>
        <w:snapToGrid/>
        <w:spacing w:line="560" w:lineRule="exact"/>
        <w:textAlignment w:val="auto"/>
      </w:pPr>
    </w:p>
    <w:p>
      <w:pPr>
        <w:keepNext w:val="0"/>
        <w:keepLines w:val="0"/>
        <w:pageBreakBefore w:val="0"/>
        <w:kinsoku/>
        <w:overflowPunct/>
        <w:topLinePunct w:val="0"/>
        <w:autoSpaceDE/>
        <w:autoSpaceDN/>
        <w:bidi w:val="0"/>
        <w:adjustRightInd/>
        <w:snapToGrid/>
        <w:spacing w:line="560" w:lineRule="exact"/>
        <w:ind w:firstLine="4160" w:firstLineChars="1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国家税务总局清镇市税务局</w:t>
      </w:r>
    </w:p>
    <w:p>
      <w:pPr>
        <w:keepNext w:val="0"/>
        <w:keepLines w:val="0"/>
        <w:pageBreakBefore w:val="0"/>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 xml:space="preserve">日  </w:t>
      </w:r>
    </w:p>
    <w:p>
      <w:pPr>
        <w:keepNext w:val="0"/>
        <w:keepLines w:val="0"/>
        <w:pageBreakBefore w:val="0"/>
        <w:kinsoku/>
        <w:overflowPunct/>
        <w:topLinePunct w:val="0"/>
        <w:autoSpaceDE/>
        <w:autoSpaceDN/>
        <w:bidi w:val="0"/>
        <w:adjustRightInd/>
        <w:snapToGrid/>
        <w:spacing w:line="560" w:lineRule="exact"/>
        <w:textAlignment w:val="auto"/>
      </w:pPr>
    </w:p>
    <w:p>
      <w:pPr>
        <w:keepNext w:val="0"/>
        <w:keepLines w:val="0"/>
        <w:pageBreakBefore w:val="0"/>
        <w:kinsoku/>
        <w:overflowPunct/>
        <w:topLinePunct w:val="0"/>
        <w:autoSpaceDE/>
        <w:autoSpaceDN/>
        <w:bidi w:val="0"/>
        <w:adjustRightInd/>
        <w:snapToGrid/>
        <w:spacing w:line="560" w:lineRule="exact"/>
        <w:textAlignment w:val="auto"/>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67103B"/>
    <w:multiLevelType w:val="singleLevel"/>
    <w:tmpl w:val="5167103B"/>
    <w:lvl w:ilvl="0" w:tentative="0">
      <w:start w:val="2"/>
      <w:numFmt w:val="chineseCounting"/>
      <w:suff w:val="nothing"/>
      <w:lvlText w:val="%1、"/>
      <w:lvlJc w:val="left"/>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F3093F"/>
    <w:rsid w:val="014E5113"/>
    <w:rsid w:val="01A61402"/>
    <w:rsid w:val="01E727E4"/>
    <w:rsid w:val="04014B16"/>
    <w:rsid w:val="040B3115"/>
    <w:rsid w:val="058B54B4"/>
    <w:rsid w:val="069B3E74"/>
    <w:rsid w:val="0A243B81"/>
    <w:rsid w:val="0C966AEC"/>
    <w:rsid w:val="11DB71F7"/>
    <w:rsid w:val="15FF169F"/>
    <w:rsid w:val="192C55E9"/>
    <w:rsid w:val="1C9123A9"/>
    <w:rsid w:val="209C753B"/>
    <w:rsid w:val="25937C15"/>
    <w:rsid w:val="25A83CDD"/>
    <w:rsid w:val="2A333775"/>
    <w:rsid w:val="2A9C5E4D"/>
    <w:rsid w:val="2AC17C7C"/>
    <w:rsid w:val="2CDE1533"/>
    <w:rsid w:val="2D317DEF"/>
    <w:rsid w:val="2E916979"/>
    <w:rsid w:val="345B503F"/>
    <w:rsid w:val="345D2F45"/>
    <w:rsid w:val="35A123C4"/>
    <w:rsid w:val="37B34429"/>
    <w:rsid w:val="383012F4"/>
    <w:rsid w:val="395D4207"/>
    <w:rsid w:val="3FBE6081"/>
    <w:rsid w:val="41555580"/>
    <w:rsid w:val="462A3CCD"/>
    <w:rsid w:val="4982254F"/>
    <w:rsid w:val="4E14271D"/>
    <w:rsid w:val="4E533ACE"/>
    <w:rsid w:val="507D05F2"/>
    <w:rsid w:val="53AF4F52"/>
    <w:rsid w:val="543E2790"/>
    <w:rsid w:val="557230B8"/>
    <w:rsid w:val="558C7AFF"/>
    <w:rsid w:val="586A49C6"/>
    <w:rsid w:val="58F3093F"/>
    <w:rsid w:val="59102A9F"/>
    <w:rsid w:val="5A6A4B79"/>
    <w:rsid w:val="5AC746BE"/>
    <w:rsid w:val="5C180671"/>
    <w:rsid w:val="5DD41345"/>
    <w:rsid w:val="5E2A21BD"/>
    <w:rsid w:val="5E3606F8"/>
    <w:rsid w:val="5EE70784"/>
    <w:rsid w:val="61122031"/>
    <w:rsid w:val="652F63BA"/>
    <w:rsid w:val="67AF7BCB"/>
    <w:rsid w:val="68AE5773"/>
    <w:rsid w:val="68F40AE6"/>
    <w:rsid w:val="696B37F1"/>
    <w:rsid w:val="6A4545E6"/>
    <w:rsid w:val="6ADB25EC"/>
    <w:rsid w:val="6DC11C15"/>
    <w:rsid w:val="6E205BB6"/>
    <w:rsid w:val="6E5F235B"/>
    <w:rsid w:val="715C7A74"/>
    <w:rsid w:val="71B4459D"/>
    <w:rsid w:val="725C27EB"/>
    <w:rsid w:val="75B80C30"/>
    <w:rsid w:val="75EF2639"/>
    <w:rsid w:val="77DC175F"/>
    <w:rsid w:val="78FA02E8"/>
    <w:rsid w:val="79483162"/>
    <w:rsid w:val="7C713180"/>
    <w:rsid w:val="7E6571B9"/>
    <w:rsid w:val="7FF74264"/>
    <w:rsid w:val="7FFD1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2477</Words>
  <Characters>2597</Characters>
  <Lines>0</Lines>
  <Paragraphs>0</Paragraphs>
  <TotalTime>28</TotalTime>
  <ScaleCrop>false</ScaleCrop>
  <LinksUpToDate>false</LinksUpToDate>
  <CharactersWithSpaces>2626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2025-01-21T01:47:00Z</dcterms:created>
  <dc:creator>赵    宇</dc:creator>
  <cp:lastModifiedBy>冯雪君</cp:lastModifiedBy>
  <dcterms:modified xsi:type="dcterms:W3CDTF">2025-01-24T07:47:35Z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KSOTemplateDocerSaveRecord">
    <vt:lpwstr>eyJoZGlkIjoiNWJhMDIxYjYwMTNlOTlhMTUxYmQ4NjlhOWZjMTU1NDMiLCJ1c2VySWQiOiIzMjgzODcyMDQifQ==</vt:lpwstr>
  </property>
  <property fmtid="{D5CDD505-2E9C-101B-9397-08002B2CF9AE}" pid="4" name="ICV">
    <vt:lpwstr>DEBAE8293FE84974814322424AF36F99_12</vt:lpwstr>
  </property>
</Properties>
</file>