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Style w:val="10"/>
          <w:rFonts w:hint="eastAsia" w:ascii="方正小标宋简体" w:hAnsi="方正小标宋简体" w:eastAsia="方正小标宋简体" w:cs="方正小标宋简体"/>
          <w:color w:val="323534"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color w:val="323534"/>
          <w:sz w:val="44"/>
          <w:szCs w:val="44"/>
        </w:rPr>
        <w:t>国家税务总局贵阳市云岩区税务局</w:t>
      </w:r>
    </w:p>
    <w:p>
      <w:pPr>
        <w:widowControl/>
        <w:spacing w:line="560" w:lineRule="exact"/>
        <w:jc w:val="center"/>
        <w:rPr>
          <w:rStyle w:val="10"/>
          <w:rFonts w:hint="eastAsia" w:ascii="方正小标宋简体" w:hAnsi="方正小标宋简体" w:eastAsia="方正小标宋简体" w:cs="方正小标宋简体"/>
          <w:color w:val="323534"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color w:val="323534"/>
          <w:sz w:val="44"/>
          <w:szCs w:val="44"/>
        </w:rPr>
        <w:t>2024年政府信息公开工作年度报告</w:t>
      </w:r>
    </w:p>
    <w:p>
      <w:pPr>
        <w:pStyle w:val="11"/>
        <w:spacing w:line="560" w:lineRule="exact"/>
        <w:ind w:firstLine="632"/>
        <w:rPr>
          <w:rFonts w:ascii="仿宋_GB2312" w:hAnsi="仿宋_GB2312" w:eastAsia="仿宋_GB2312" w:cs="仿宋_GB2312"/>
        </w:rPr>
      </w:pPr>
    </w:p>
    <w:p>
      <w:pPr>
        <w:pStyle w:val="11"/>
        <w:spacing w:line="560" w:lineRule="exact"/>
        <w:ind w:firstLine="632"/>
        <w:rPr>
          <w:rFonts w:ascii="仿宋_GB2312" w:eastAsia="仿宋_GB2312"/>
          <w:snapToGrid w:val="0"/>
          <w:kern w:val="0"/>
          <w:szCs w:val="32"/>
        </w:rPr>
      </w:pPr>
      <w:r>
        <w:rPr>
          <w:rFonts w:hint="eastAsia" w:ascii="仿宋_GB2312" w:eastAsia="仿宋_GB2312"/>
          <w:szCs w:val="32"/>
        </w:rPr>
        <w:t>本报告根据《中华人民共和国政府信息公开条例》等要求编制。本报告</w:t>
      </w:r>
      <w:r>
        <w:rPr>
          <w:rFonts w:hint="eastAsia" w:ascii="仿宋_GB2312" w:eastAsia="仿宋_GB2312"/>
          <w:color w:val="000000"/>
          <w:spacing w:val="4"/>
          <w:szCs w:val="32"/>
        </w:rPr>
        <w:t>包括总体情况、主动公开政府信息情况、收到和处理政府信息申请公开情况、政府信息公开行政复议和行政诉讼情况、存在的主要问题及改进情况、其他需要报告的事项等六个部分。</w:t>
      </w:r>
      <w:r>
        <w:rPr>
          <w:rFonts w:hint="eastAsia" w:ascii="仿宋_GB2312" w:eastAsia="仿宋_GB2312"/>
          <w:szCs w:val="32"/>
        </w:rPr>
        <w:t>报告中所列数据为国家税务总局贵阳市云岩区税务局2024年的整年数据，统计期限自2024年1月1日起至2024年12月</w:t>
      </w:r>
      <w:r>
        <w:rPr>
          <w:rFonts w:hint="eastAsia" w:ascii="仿宋_GB2312" w:eastAsia="仿宋_GB2312"/>
          <w:snapToGrid w:val="0"/>
          <w:kern w:val="0"/>
          <w:szCs w:val="32"/>
        </w:rPr>
        <w:t>31日止。报告电子版可在贵州省人民政府网站（http://www.guizhou.gov.cn/ztzl/zfxxgkndbg/）和国家税务总局贵州省税务局网站（https://guizhou.chinatax.gov.cn/）查阅。如有疑问请致电国家税务总局贵阳市云岩区税务局（联系电话：0851-</w:t>
      </w:r>
      <w:r>
        <w:rPr>
          <w:snapToGrid w:val="0"/>
          <w:kern w:val="0"/>
        </w:rPr>
        <w:t xml:space="preserve"> </w:t>
      </w:r>
      <w:r>
        <w:rPr>
          <w:rFonts w:hint="eastAsia" w:ascii="仿宋_GB2312" w:eastAsia="仿宋_GB2312"/>
          <w:snapToGrid w:val="0"/>
          <w:kern w:val="0"/>
          <w:szCs w:val="32"/>
        </w:rPr>
        <w:t xml:space="preserve">82591191），竭诚欢迎您的关注支持和批评监督！   </w:t>
      </w:r>
    </w:p>
    <w:p>
      <w:pPr>
        <w:pStyle w:val="11"/>
        <w:spacing w:line="560" w:lineRule="exact"/>
        <w:ind w:firstLine="632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一、总体情况</w:t>
      </w:r>
    </w:p>
    <w:p>
      <w:pPr>
        <w:spacing w:line="560" w:lineRule="exact"/>
        <w:ind w:firstLine="632" w:firstLineChars="200"/>
        <w:rPr>
          <w:rFonts w:ascii="仿宋_GB2312" w:hAnsi="仿宋_GB2312" w:cs="仿宋_GB2312"/>
        </w:rPr>
      </w:pPr>
      <w:r>
        <w:rPr>
          <w:rFonts w:hint="eastAsia" w:ascii="仿宋_GB2312" w:hAnsiTheme="minorHAnsi" w:cstheme="minorBidi"/>
          <w:szCs w:val="32"/>
        </w:rPr>
        <w:t>2024年，国家税务总局贵阳市云岩区税务局</w:t>
      </w:r>
      <w:r>
        <w:rPr>
          <w:rFonts w:hint="eastAsia" w:ascii="仿宋_GB2312" w:hAnsiTheme="minorHAnsi" w:cstheme="minorBidi"/>
          <w:color w:val="auto"/>
          <w:szCs w:val="32"/>
        </w:rPr>
        <w:t>（以下简称“云岩区税务局”）</w:t>
      </w:r>
      <w:r>
        <w:rPr>
          <w:rFonts w:hint="eastAsia" w:ascii="仿宋_GB2312" w:hAnsiTheme="minorHAnsi" w:cstheme="minorBidi"/>
          <w:szCs w:val="32"/>
        </w:rPr>
        <w:t>全面贯彻《中华人民共和国政府信息公开条例》,认真落实党中央、国务院关于全面推进政务公开工作的决策部署，严格按照总局、省局、市局和区委区政府关于政务公开工作安排，围绕税收中心工作，不断健全政务公开制度体系，持续加大主动公开力度，主动加强政策解读和舆情回应，积极协助推进政务公开平台建设，不断提升政务公开质效，增强税务部门的公信力和执行力。</w:t>
      </w:r>
    </w:p>
    <w:p>
      <w:pPr>
        <w:pStyle w:val="11"/>
        <w:spacing w:line="560" w:lineRule="exact"/>
        <w:ind w:firstLine="632"/>
        <w:rPr>
          <w:rFonts w:ascii="仿宋_GB2312" w:eastAsia="仿宋_GB2312" w:hAnsiTheme="minorHAnsi" w:cstheme="minorBidi"/>
          <w:szCs w:val="32"/>
        </w:rPr>
      </w:pPr>
      <w:r>
        <w:rPr>
          <w:rFonts w:hint="eastAsia" w:ascii="楷体_GB2312" w:hAnsi="楷体_GB2312" w:eastAsia="楷体_GB2312" w:cs="楷体_GB2312"/>
        </w:rPr>
        <w:t>（一）主动公开。</w:t>
      </w:r>
      <w:r>
        <w:rPr>
          <w:rFonts w:hint="eastAsia" w:ascii="仿宋_GB2312" w:eastAsia="仿宋_GB2312" w:hAnsiTheme="minorHAnsi" w:cstheme="minorBidi"/>
          <w:szCs w:val="32"/>
        </w:rPr>
        <w:t>云岩区税务局全面落实政府信息公开有关要求，加强统筹谋划，做好重点领域信息公开。坚持以“公开为常态，不公开为例外”的原则，围绕公众关心的问题，明确公开事项、公开内容、公开时限、公开渠道等，充分利用公告栏、区政府门户网站、税企互动平台、办税服务厅等途径主动公开税收政策法规、办税指南、税收工作动态、行政许可信息公示等各项涉税事项，加强税收政策解读和宣传，帮助纳税人缴费人实时掌握政策变化，自觉接受社会监督，保障社会公众的知情权、参与权、监督权。</w:t>
      </w:r>
      <w:r>
        <w:rPr>
          <w:rFonts w:hint="eastAsia" w:ascii="仿宋_GB2312" w:eastAsia="仿宋_GB2312" w:hAnsiTheme="minorHAnsi" w:cstheme="minorBidi"/>
          <w:szCs w:val="32"/>
          <w:lang w:eastAsia="zh-CN"/>
        </w:rPr>
        <w:t>不断</w:t>
      </w:r>
      <w:r>
        <w:rPr>
          <w:rFonts w:hint="eastAsia" w:ascii="仿宋_GB2312" w:eastAsia="仿宋_GB2312" w:hAnsiTheme="minorHAnsi" w:cstheme="minorBidi"/>
          <w:szCs w:val="32"/>
        </w:rPr>
        <w:t>提高信息公开质量，不断完善税费政策公开方式</w:t>
      </w:r>
      <w:r>
        <w:rPr>
          <w:rFonts w:hint="eastAsia" w:ascii="仿宋_GB2312" w:eastAsia="仿宋_GB2312" w:hAnsiTheme="minorHAnsi" w:cstheme="minorBidi"/>
          <w:szCs w:val="32"/>
          <w:lang w:eastAsia="zh-CN"/>
        </w:rPr>
        <w:t>，</w:t>
      </w:r>
      <w:r>
        <w:rPr>
          <w:rFonts w:hint="eastAsia" w:ascii="仿宋_GB2312" w:eastAsia="仿宋_GB2312" w:hAnsiTheme="minorHAnsi" w:cstheme="minorBidi"/>
          <w:szCs w:val="32"/>
        </w:rPr>
        <w:t>通过税企互动平台、短信、微信群等渠道向纳税人缴费人推送最新办税缴费便利化举措；积极开展新闻宣传，在人民网、新华网、天眼新闻、动静贵州、贵阳网等省市级平台上稿120余篇次；在新华社、中国税务报、国家税务总局微信公众号等央级媒体上稿5篇；利用各类公开途径对涉及纳税人缴费人利益调整、需要社会公众广泛知晓或参与决策的政府信息进行主动公开。</w:t>
      </w:r>
    </w:p>
    <w:p>
      <w:pPr>
        <w:pStyle w:val="11"/>
        <w:spacing w:line="560" w:lineRule="exact"/>
        <w:ind w:firstLine="632"/>
        <w:rPr>
          <w:rFonts w:ascii="仿宋_GB2312" w:eastAsia="仿宋_GB2312" w:hAnsiTheme="minorHAnsi" w:cstheme="minorBidi"/>
          <w:szCs w:val="32"/>
          <w:highlight w:val="yellow"/>
        </w:rPr>
      </w:pPr>
      <w:r>
        <w:rPr>
          <w:rFonts w:hint="eastAsia" w:ascii="楷体_GB2312" w:hAnsi="楷体_GB2312" w:eastAsia="楷体_GB2312" w:cs="楷体_GB2312"/>
        </w:rPr>
        <w:t>（二）依申请公开</w:t>
      </w:r>
      <w:r>
        <w:rPr>
          <w:rFonts w:hint="eastAsia" w:ascii="仿宋_GB2312" w:eastAsia="仿宋_GB2312" w:hAnsiTheme="minorHAnsi" w:cstheme="minorBidi"/>
          <w:szCs w:val="32"/>
        </w:rPr>
        <w:t>。云岩区税务局严格按照《税务机关政府信息公开申请办理规范》相关要求，依法依规做好政府信息依申请公开工作，持续规范依申请公开办理流程，统一答复文书格式，优化依申请公开办理流程，缩短办理时限，提高答复质量，细化依申请公开台账，进一步提升依申请公开工作质量，及时满足申请人的合理需求。</w:t>
      </w:r>
    </w:p>
    <w:p>
      <w:pPr>
        <w:spacing w:line="560" w:lineRule="exact"/>
        <w:ind w:firstLine="632" w:firstLineChars="200"/>
        <w:rPr>
          <w:rFonts w:ascii="仿宋_GB2312" w:hAnsiTheme="minorHAnsi" w:cstheme="minorBidi"/>
          <w:szCs w:val="32"/>
        </w:rPr>
      </w:pPr>
      <w:r>
        <w:rPr>
          <w:rFonts w:hint="eastAsia" w:ascii="楷体_GB2312" w:hAnsi="宋体" w:eastAsia="楷体_GB2312"/>
          <w:snapToGrid w:val="0"/>
          <w:kern w:val="0"/>
          <w:szCs w:val="32"/>
        </w:rPr>
        <w:t>（三）政府信息管理。</w:t>
      </w:r>
      <w:r>
        <w:rPr>
          <w:rFonts w:hint="eastAsia" w:ascii="仿宋_GB2312" w:hAnsiTheme="minorHAnsi" w:cstheme="minorBidi"/>
          <w:szCs w:val="32"/>
        </w:rPr>
        <w:t>云岩区税务局严格遵循“一事一审”原则，建立健全政府信息公开审查机制。通过进一步优化对政府信息公开的规则和标准，实时予以更新，不断提高公开质量、提升公开后的服务，更好优化税收营商环境。同时持续规范信息发布审查流程，完善审批程序，建立公开台账，明确审核职责，切实提升政府信息公开工作质效。</w:t>
      </w:r>
    </w:p>
    <w:p>
      <w:pPr>
        <w:spacing w:line="560" w:lineRule="exact"/>
        <w:ind w:firstLine="632" w:firstLineChars="200"/>
        <w:rPr>
          <w:rFonts w:ascii="仿宋_GB2312" w:hAnsi="仿宋_GB2312" w:cs="仿宋_GB2312"/>
          <w:szCs w:val="32"/>
          <w:highlight w:val="yellow"/>
        </w:rPr>
      </w:pPr>
      <w:r>
        <w:rPr>
          <w:rFonts w:hint="eastAsia" w:ascii="楷体_GB2312" w:hAnsi="宋体" w:eastAsia="楷体_GB2312"/>
          <w:snapToGrid w:val="0"/>
          <w:kern w:val="0"/>
          <w:szCs w:val="32"/>
        </w:rPr>
        <w:t>（四）政府信息公开平台建设。</w:t>
      </w:r>
      <w:r>
        <w:rPr>
          <w:rFonts w:hint="eastAsia" w:ascii="仿宋_GB2312" w:hAnsiTheme="minorHAnsi" w:cstheme="minorBidi"/>
          <w:szCs w:val="32"/>
        </w:rPr>
        <w:t>云</w:t>
      </w:r>
      <w:r>
        <w:rPr>
          <w:rFonts w:hint="eastAsia" w:ascii="仿宋_GB2312" w:hAnsi="仿宋_GB2312" w:cs="仿宋_GB2312"/>
          <w:szCs w:val="32"/>
        </w:rPr>
        <w:t>岩区</w:t>
      </w:r>
      <w:r>
        <w:rPr>
          <w:rFonts w:hint="eastAsia" w:ascii="仿宋_GB2312" w:hAnsi="仿宋_GB2312" w:cs="仿宋_GB2312"/>
          <w:snapToGrid w:val="0"/>
          <w:kern w:val="0"/>
          <w:szCs w:val="32"/>
        </w:rPr>
        <w:t>税务局聚焦精细服务，加强政务信息公开平台建设，2024年依托税企互动平台开展直播培训29场，在线观看11816人次，累计推送红利账单2.4万条；2024年我局共收到政务服务好差评合计169380人次，其中“无评价”占比2.1%，“非常满意”占比97.9%。</w:t>
      </w:r>
    </w:p>
    <w:p>
      <w:pPr>
        <w:spacing w:line="560" w:lineRule="exact"/>
        <w:ind w:firstLine="632" w:firstLineChars="200"/>
        <w:rPr>
          <w:rFonts w:ascii="仿宋_GB2312" w:hAnsi="仿宋_GB2312" w:cs="仿宋_GB2312"/>
          <w:szCs w:val="32"/>
        </w:rPr>
      </w:pPr>
      <w:r>
        <w:rPr>
          <w:rFonts w:hint="eastAsia" w:ascii="楷体_GB2312" w:hAnsi="宋体" w:eastAsia="楷体_GB2312"/>
          <w:snapToGrid w:val="0"/>
          <w:kern w:val="0"/>
          <w:szCs w:val="32"/>
        </w:rPr>
        <w:t>（五）监督保障。</w:t>
      </w:r>
      <w:r>
        <w:rPr>
          <w:rFonts w:hint="eastAsia" w:ascii="仿宋_GB2312" w:hAnsi="仿宋_GB2312" w:cs="仿宋_GB2312"/>
          <w:snapToGrid w:val="0"/>
          <w:kern w:val="0"/>
          <w:szCs w:val="32"/>
        </w:rPr>
        <w:t>云岩区税务局设</w:t>
      </w:r>
      <w:r>
        <w:rPr>
          <w:rFonts w:hint="eastAsia" w:ascii="仿宋_GB2312" w:hAnsi="仿宋_GB2312" w:cs="仿宋_GB2312"/>
          <w:szCs w:val="32"/>
        </w:rPr>
        <w:t>立有效监督机制，通过公布主要负责人和相关部门电话等方式，让纳税人、缴费人能够有效监督、有门投诉。2024年我局共接收上级12366纳税服务热线转办单4231件，12345市长热线转办单1709件，件件均办结，及时响应纳税人需求。</w:t>
      </w:r>
    </w:p>
    <w:p>
      <w:pPr>
        <w:pStyle w:val="11"/>
        <w:spacing w:line="400" w:lineRule="exact"/>
        <w:ind w:firstLine="632"/>
        <w:rPr>
          <w:rFonts w:ascii="宋体" w:hAnsi="宋体" w:cs="宋体"/>
          <w:color w:val="333333"/>
          <w:sz w:val="24"/>
          <w:szCs w:val="24"/>
        </w:rPr>
      </w:pPr>
      <w:r>
        <w:rPr>
          <w:rFonts w:hint="eastAsia" w:ascii="黑体" w:hAnsi="黑体" w:eastAsia="黑体" w:cs="宋体"/>
        </w:rPr>
        <w:t>二、主动公开政府信息情况  </w:t>
      </w:r>
      <w:r>
        <w:rPr>
          <w:rFonts w:hint="eastAsia" w:ascii="宋体" w:hAnsi="宋体" w:cs="宋体"/>
        </w:rPr>
        <w:t> </w:t>
      </w: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ind w:firstLine="316" w:firstLineChars="1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1003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971"/>
        <w:gridCol w:w="3316"/>
        <w:gridCol w:w="708"/>
        <w:gridCol w:w="708"/>
        <w:gridCol w:w="708"/>
        <w:gridCol w:w="708"/>
        <w:gridCol w:w="709"/>
        <w:gridCol w:w="709"/>
        <w:gridCol w:w="7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7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6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0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0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1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32" w:firstLineChars="200"/>
        <w:jc w:val="both"/>
        <w:textAlignment w:val="top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11"/>
        <w:spacing w:line="560" w:lineRule="exact"/>
        <w:ind w:firstLine="632"/>
        <w:rPr>
          <w:rFonts w:ascii="黑体" w:hAnsi="黑体" w:eastAsia="黑体" w:cs="黑体"/>
          <w:color w:val="333333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</w:rPr>
        <w:t>五、政府信息公开工作存在的主要问题及改进情况</w:t>
      </w:r>
    </w:p>
    <w:p>
      <w:pPr>
        <w:pStyle w:val="5"/>
        <w:wordWrap w:val="0"/>
        <w:spacing w:before="0" w:beforeAutospacing="0" w:after="0" w:afterAutospacing="0" w:line="560" w:lineRule="exact"/>
        <w:ind w:firstLine="632" w:firstLineChars="200"/>
        <w:rPr>
          <w:rFonts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sz w:val="32"/>
          <w:szCs w:val="32"/>
        </w:rPr>
        <w:t>（一）存在问题</w:t>
      </w:r>
    </w:p>
    <w:p>
      <w:pPr>
        <w:pStyle w:val="5"/>
        <w:wordWrap w:val="0"/>
        <w:spacing w:before="0" w:beforeAutospacing="0" w:after="0" w:afterAutospacing="0" w:line="560" w:lineRule="exact"/>
        <w:ind w:firstLine="632" w:firstLineChars="20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2024年，云岩区税务局依据《中华人民共和国政府信息公开条例》公开税收政策及各办税事项、涉税信息，取得了一定的成效，但也还存在一定的差距和不足，具体体现在：一是信息公开力度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较弱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，主动公开意识较弱，更新频率较低，常态化公开意识有待提升。二是部分政策解读不够细致全面，政策解读方式方法有待提升。</w:t>
      </w:r>
    </w:p>
    <w:p>
      <w:pPr>
        <w:pStyle w:val="2"/>
        <w:spacing w:line="560" w:lineRule="exact"/>
        <w:ind w:firstLine="632" w:firstLineChars="200"/>
        <w:rPr>
          <w:rFonts w:ascii="仿宋_GB2312" w:hAnsiTheme="minorHAnsi" w:cstheme="minorBidi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kern w:val="0"/>
          <w:szCs w:val="32"/>
        </w:rPr>
        <w:t>（二）改进情况</w:t>
      </w:r>
      <w:r>
        <w:rPr>
          <w:rFonts w:hint="eastAsia" w:ascii="楷体_GB2312" w:hAnsi="楷体_GB2312" w:eastAsia="楷体_GB2312" w:cs="楷体_GB2312"/>
          <w:snapToGrid w:val="0"/>
          <w:kern w:val="0"/>
          <w:szCs w:val="32"/>
        </w:rPr>
        <w:br w:type="textWrapping"/>
      </w:r>
      <w:r>
        <w:rPr>
          <w:rFonts w:hint="eastAsia" w:ascii="仿宋_GB2312" w:hAnsi="仿宋_GB2312" w:cs="仿宋_GB2312"/>
          <w:color w:val="333333"/>
          <w:szCs w:val="32"/>
        </w:rPr>
        <w:t xml:space="preserve">    </w:t>
      </w:r>
      <w:r>
        <w:rPr>
          <w:rFonts w:hint="eastAsia" w:ascii="仿宋_GB2312" w:hAnsiTheme="minorHAnsi" w:cstheme="minorBidi"/>
          <w:szCs w:val="32"/>
        </w:rPr>
        <w:t>一是进一步优化政府信息公开渠道、平台的管理，拓宽公开渠道，丰富公开内容，提高更新频率，树牢常态化政府信息公开意识，及时回应公众关切。二是加强政府信息公开人才培育和队伍建设，围绕纳税人缴费人的需求持续推送政策解读、办税缴费指南，切实提升政府信息公开的效果和水平。</w:t>
      </w:r>
    </w:p>
    <w:p>
      <w:pPr>
        <w:pStyle w:val="11"/>
        <w:spacing w:line="560" w:lineRule="exact"/>
        <w:ind w:firstLine="632"/>
        <w:rPr>
          <w:rFonts w:ascii="黑体" w:hAnsi="黑体" w:eastAsia="黑体" w:cs="黑体"/>
          <w:color w:val="333333"/>
        </w:rPr>
      </w:pPr>
      <w:r>
        <w:rPr>
          <w:rFonts w:hint="eastAsia" w:ascii="黑体" w:hAnsi="黑体" w:eastAsia="黑体" w:cs="黑体"/>
          <w:color w:val="333333"/>
        </w:rPr>
        <w:t>六、其他需要报告的事项</w:t>
      </w:r>
    </w:p>
    <w:p>
      <w:pPr>
        <w:pStyle w:val="5"/>
        <w:wordWrap w:val="0"/>
        <w:spacing w:before="0" w:beforeAutospacing="0" w:after="0" w:afterAutospacing="0" w:line="560" w:lineRule="exact"/>
        <w:ind w:firstLine="632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云岩区税务局认真按照相关要求，严格对照法律法规及有关规定梳理本单位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  <w:t>政府信息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公开的有关事项。</w:t>
      </w:r>
    </w:p>
    <w:p>
      <w:pPr>
        <w:pStyle w:val="5"/>
        <w:wordWrap w:val="0"/>
        <w:spacing w:before="0" w:beforeAutospacing="0" w:after="0" w:afterAutospacing="0" w:line="560" w:lineRule="exact"/>
        <w:ind w:firstLine="632" w:firstLineChars="20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2024年，云岩区税务局无收取信息处理费相关情况。</w:t>
      </w:r>
    </w:p>
    <w:p>
      <w:pPr>
        <w:pStyle w:val="11"/>
        <w:spacing w:line="560" w:lineRule="exact"/>
        <w:ind w:firstLine="632"/>
        <w:rPr>
          <w:rFonts w:ascii="仿宋_GB2312" w:hAnsi="仿宋_GB2312" w:eastAsia="仿宋_GB2312" w:cs="仿宋_GB2312"/>
          <w:color w:val="333333"/>
        </w:rPr>
      </w:pPr>
    </w:p>
    <w:p>
      <w:pPr>
        <w:pStyle w:val="11"/>
        <w:spacing w:line="560" w:lineRule="exact"/>
        <w:ind w:firstLine="0" w:firstLineChars="0"/>
        <w:rPr>
          <w:rFonts w:ascii="仿宋_GB2312" w:hAnsi="仿宋_GB2312" w:eastAsia="仿宋_GB2312" w:cs="仿宋_GB2312"/>
          <w:color w:val="333333"/>
        </w:rPr>
      </w:pPr>
    </w:p>
    <w:p>
      <w:pPr>
        <w:ind w:firstLine="3476" w:firstLineChars="1100"/>
      </w:pPr>
      <w:r>
        <w:rPr>
          <w:rFonts w:hint="eastAsia"/>
        </w:rPr>
        <w:t xml:space="preserve">    国家税务总局贵阳市云岩区税务局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                      2025年1月2</w:t>
      </w: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cs="仿宋_GB2312"/>
        </w:rPr>
        <w:t>日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588" w:gutter="0"/>
      <w:pgNumType w:fmt="numberInDash" w:start="1"/>
      <w:cols w:space="720" w:num="1"/>
      <w:docGrid w:type="linesAndChars" w:linePitch="55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20" w:leftChars="100" w:right="320" w:rightChars="10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20" w:leftChars="100" w:right="320" w:right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14 -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79"/>
    <w:rsid w:val="00047F15"/>
    <w:rsid w:val="000D3E45"/>
    <w:rsid w:val="00103D02"/>
    <w:rsid w:val="00113C67"/>
    <w:rsid w:val="0016023B"/>
    <w:rsid w:val="00232EB5"/>
    <w:rsid w:val="002D6086"/>
    <w:rsid w:val="00310079"/>
    <w:rsid w:val="00317F4B"/>
    <w:rsid w:val="003544E7"/>
    <w:rsid w:val="00404DD2"/>
    <w:rsid w:val="00421709"/>
    <w:rsid w:val="0046167A"/>
    <w:rsid w:val="004979CE"/>
    <w:rsid w:val="004A4C73"/>
    <w:rsid w:val="004F56A4"/>
    <w:rsid w:val="00660849"/>
    <w:rsid w:val="006C5D79"/>
    <w:rsid w:val="007A0DB4"/>
    <w:rsid w:val="007B02F7"/>
    <w:rsid w:val="007F25D9"/>
    <w:rsid w:val="00835218"/>
    <w:rsid w:val="00856924"/>
    <w:rsid w:val="008703D9"/>
    <w:rsid w:val="00883EE3"/>
    <w:rsid w:val="0091718D"/>
    <w:rsid w:val="00956E47"/>
    <w:rsid w:val="009E6BFC"/>
    <w:rsid w:val="00A25EFB"/>
    <w:rsid w:val="00B675C4"/>
    <w:rsid w:val="00C34055"/>
    <w:rsid w:val="00C478A9"/>
    <w:rsid w:val="00CB7AB2"/>
    <w:rsid w:val="00DB35B9"/>
    <w:rsid w:val="00DD5B5A"/>
    <w:rsid w:val="00E72A9B"/>
    <w:rsid w:val="00E777B7"/>
    <w:rsid w:val="00F65785"/>
    <w:rsid w:val="00F8681B"/>
    <w:rsid w:val="00FC35E6"/>
    <w:rsid w:val="0110477E"/>
    <w:rsid w:val="01422332"/>
    <w:rsid w:val="014C72AA"/>
    <w:rsid w:val="01B05CEC"/>
    <w:rsid w:val="03447925"/>
    <w:rsid w:val="04281387"/>
    <w:rsid w:val="047E74A6"/>
    <w:rsid w:val="04EC2648"/>
    <w:rsid w:val="05873C89"/>
    <w:rsid w:val="0622408E"/>
    <w:rsid w:val="0694217B"/>
    <w:rsid w:val="06AD157F"/>
    <w:rsid w:val="08036C5A"/>
    <w:rsid w:val="081F1A4A"/>
    <w:rsid w:val="0A656112"/>
    <w:rsid w:val="0B3E1A81"/>
    <w:rsid w:val="0B4633D4"/>
    <w:rsid w:val="0B9D67AC"/>
    <w:rsid w:val="0C0C1FF2"/>
    <w:rsid w:val="0E081828"/>
    <w:rsid w:val="0E430F77"/>
    <w:rsid w:val="0F5E213E"/>
    <w:rsid w:val="0F8E595F"/>
    <w:rsid w:val="105303FE"/>
    <w:rsid w:val="10EA6EC9"/>
    <w:rsid w:val="110E1B23"/>
    <w:rsid w:val="119B153A"/>
    <w:rsid w:val="13702466"/>
    <w:rsid w:val="165B7885"/>
    <w:rsid w:val="17E90DCE"/>
    <w:rsid w:val="18221CC0"/>
    <w:rsid w:val="19156CC3"/>
    <w:rsid w:val="197C6158"/>
    <w:rsid w:val="199417D9"/>
    <w:rsid w:val="19D822BD"/>
    <w:rsid w:val="1A7E0A22"/>
    <w:rsid w:val="1AEC5B15"/>
    <w:rsid w:val="1B1A2D75"/>
    <w:rsid w:val="1B833C15"/>
    <w:rsid w:val="1C425DAF"/>
    <w:rsid w:val="1C95534B"/>
    <w:rsid w:val="1DCF77D2"/>
    <w:rsid w:val="1EF37621"/>
    <w:rsid w:val="1F8D2C7E"/>
    <w:rsid w:val="1FA20756"/>
    <w:rsid w:val="21532E50"/>
    <w:rsid w:val="22076DC9"/>
    <w:rsid w:val="226E670D"/>
    <w:rsid w:val="23355B1A"/>
    <w:rsid w:val="236A576B"/>
    <w:rsid w:val="23CE79A1"/>
    <w:rsid w:val="24154AFF"/>
    <w:rsid w:val="249C00D0"/>
    <w:rsid w:val="254B1193"/>
    <w:rsid w:val="259A4204"/>
    <w:rsid w:val="25FC1D3F"/>
    <w:rsid w:val="27107F5F"/>
    <w:rsid w:val="274A00FB"/>
    <w:rsid w:val="28285944"/>
    <w:rsid w:val="2956137E"/>
    <w:rsid w:val="2A1F5A62"/>
    <w:rsid w:val="2CAE137F"/>
    <w:rsid w:val="2CE766D9"/>
    <w:rsid w:val="2CFF7FA9"/>
    <w:rsid w:val="2D952D86"/>
    <w:rsid w:val="2DD861AB"/>
    <w:rsid w:val="2E2F501D"/>
    <w:rsid w:val="2E410F0A"/>
    <w:rsid w:val="2F845F43"/>
    <w:rsid w:val="302B4DFE"/>
    <w:rsid w:val="345D5735"/>
    <w:rsid w:val="349A29A6"/>
    <w:rsid w:val="34E20B3F"/>
    <w:rsid w:val="358012E6"/>
    <w:rsid w:val="35C8311C"/>
    <w:rsid w:val="36CF7718"/>
    <w:rsid w:val="36E26116"/>
    <w:rsid w:val="37613BF0"/>
    <w:rsid w:val="3AA569A6"/>
    <w:rsid w:val="3AA9182B"/>
    <w:rsid w:val="3AF817A4"/>
    <w:rsid w:val="3B1A27A1"/>
    <w:rsid w:val="3BF830D8"/>
    <w:rsid w:val="3D162203"/>
    <w:rsid w:val="3D323FEE"/>
    <w:rsid w:val="3DCE2F43"/>
    <w:rsid w:val="3DFB7041"/>
    <w:rsid w:val="3E7C142B"/>
    <w:rsid w:val="40FB27A5"/>
    <w:rsid w:val="428C504D"/>
    <w:rsid w:val="42E97416"/>
    <w:rsid w:val="434934E4"/>
    <w:rsid w:val="43C556AD"/>
    <w:rsid w:val="43C62658"/>
    <w:rsid w:val="456755E6"/>
    <w:rsid w:val="45FB5CEE"/>
    <w:rsid w:val="472B5364"/>
    <w:rsid w:val="47B057D8"/>
    <w:rsid w:val="49903D20"/>
    <w:rsid w:val="4A256352"/>
    <w:rsid w:val="4A963F78"/>
    <w:rsid w:val="4B7012D1"/>
    <w:rsid w:val="4BF17C1A"/>
    <w:rsid w:val="4D7548C0"/>
    <w:rsid w:val="4E3E5EB6"/>
    <w:rsid w:val="4E80318D"/>
    <w:rsid w:val="4F7737F0"/>
    <w:rsid w:val="501D1F97"/>
    <w:rsid w:val="508D702C"/>
    <w:rsid w:val="52344702"/>
    <w:rsid w:val="524A0ED6"/>
    <w:rsid w:val="53BB5BFF"/>
    <w:rsid w:val="545B034E"/>
    <w:rsid w:val="56180EAD"/>
    <w:rsid w:val="5632348B"/>
    <w:rsid w:val="566736E3"/>
    <w:rsid w:val="56D02D15"/>
    <w:rsid w:val="56EE1416"/>
    <w:rsid w:val="57B66C13"/>
    <w:rsid w:val="57E87F63"/>
    <w:rsid w:val="5A2E23D3"/>
    <w:rsid w:val="5AE74E61"/>
    <w:rsid w:val="5CCE0C0A"/>
    <w:rsid w:val="5D467F47"/>
    <w:rsid w:val="5D7531EF"/>
    <w:rsid w:val="5E722CD0"/>
    <w:rsid w:val="5E7F272C"/>
    <w:rsid w:val="5F1D5C75"/>
    <w:rsid w:val="611B304A"/>
    <w:rsid w:val="61A766C9"/>
    <w:rsid w:val="62E75BFA"/>
    <w:rsid w:val="6375723B"/>
    <w:rsid w:val="64064117"/>
    <w:rsid w:val="64CF1BAF"/>
    <w:rsid w:val="652A2F7C"/>
    <w:rsid w:val="65BA124C"/>
    <w:rsid w:val="662E14EC"/>
    <w:rsid w:val="66652341"/>
    <w:rsid w:val="66CD1BE6"/>
    <w:rsid w:val="66D01DF4"/>
    <w:rsid w:val="67E94B61"/>
    <w:rsid w:val="68282081"/>
    <w:rsid w:val="690A582F"/>
    <w:rsid w:val="692616E5"/>
    <w:rsid w:val="692F3B5C"/>
    <w:rsid w:val="69426D0D"/>
    <w:rsid w:val="699269A4"/>
    <w:rsid w:val="6A6B1551"/>
    <w:rsid w:val="6AD51482"/>
    <w:rsid w:val="6B4A52FE"/>
    <w:rsid w:val="6C6A141C"/>
    <w:rsid w:val="6CF01F85"/>
    <w:rsid w:val="6D2A26E4"/>
    <w:rsid w:val="6D5F235C"/>
    <w:rsid w:val="6DC02B66"/>
    <w:rsid w:val="6DEA4E03"/>
    <w:rsid w:val="6E0223B4"/>
    <w:rsid w:val="6EC4282A"/>
    <w:rsid w:val="6EC60027"/>
    <w:rsid w:val="6EF54E52"/>
    <w:rsid w:val="6F0F5E7D"/>
    <w:rsid w:val="70842471"/>
    <w:rsid w:val="70EE2EC5"/>
    <w:rsid w:val="722D064A"/>
    <w:rsid w:val="72584481"/>
    <w:rsid w:val="732E57AD"/>
    <w:rsid w:val="733C0347"/>
    <w:rsid w:val="74C42F62"/>
    <w:rsid w:val="74E97D8B"/>
    <w:rsid w:val="77D618DF"/>
    <w:rsid w:val="77D92730"/>
    <w:rsid w:val="77ED75B5"/>
    <w:rsid w:val="78497F6A"/>
    <w:rsid w:val="78757DBE"/>
    <w:rsid w:val="78E77081"/>
    <w:rsid w:val="796D5EA1"/>
    <w:rsid w:val="79C40653"/>
    <w:rsid w:val="79CB1F5D"/>
    <w:rsid w:val="7B006409"/>
    <w:rsid w:val="7B0E322E"/>
    <w:rsid w:val="7B776ACB"/>
    <w:rsid w:val="7B8612B5"/>
    <w:rsid w:val="7C337563"/>
    <w:rsid w:val="7C955AB0"/>
    <w:rsid w:val="7D452E5B"/>
    <w:rsid w:val="7D577B3F"/>
    <w:rsid w:val="7E1610CF"/>
    <w:rsid w:val="7E6F1AF1"/>
    <w:rsid w:val="7ED77295"/>
    <w:rsid w:val="7F4854F6"/>
    <w:rsid w:val="7FDA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dhgao"/>
    <w:basedOn w:val="7"/>
    <w:qFormat/>
    <w:uiPriority w:val="0"/>
  </w:style>
  <w:style w:type="paragraph" w:customStyle="1" w:styleId="11">
    <w:name w:val="列表段落1"/>
    <w:basedOn w:val="1"/>
    <w:qFormat/>
    <w:uiPriority w:val="34"/>
    <w:pPr>
      <w:ind w:firstLine="420" w:firstLine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1667</Words>
  <Characters>1818</Characters>
  <Lines>28</Lines>
  <Paragraphs>7</Paragraphs>
  <TotalTime>2</TotalTime>
  <ScaleCrop>false</ScaleCrop>
  <LinksUpToDate>false</LinksUpToDate>
  <CharactersWithSpaces>1822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2021-01-18T01:47:00Z</dcterms:created>
  <dc:creator>Microsoft</dc:creator>
  <cp:lastModifiedBy>冯雪君</cp:lastModifiedBy>
  <cp:lastPrinted>2023-01-16T03:52:00Z</cp:lastPrinted>
  <dcterms:modified xsi:type="dcterms:W3CDTF">2025-01-24T07:50:51Z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D9BC2AACFEF54828868C92354F1B6409_13</vt:lpwstr>
  </property>
  <property fmtid="{D5CDD505-2E9C-101B-9397-08002B2CF9AE}" pid="4" name="KSOTemplateDocerSaveRecord">
    <vt:lpwstr>eyJoZGlkIjoiNWJhMDIxYjYwMTNlOTlhMTUxYmQ4NjlhOWZjMTU1NDMiLCJ1c2VySWQiOiIzMjgzODcyMDQifQ==</vt:lpwstr>
  </property>
</Properties>
</file>