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val="0"/>
        <w:topLinePunct w:val="0"/>
        <w:autoSpaceDE w:val="0"/>
        <w:autoSpaceDN w:val="0"/>
        <w:bidi w:val="0"/>
        <w:adjustRightInd w:val="0"/>
        <w:snapToGrid w:val="0"/>
        <w:spacing w:line="560" w:lineRule="exact"/>
        <w:ind w:firstLine="0" w:firstLineChars="0"/>
        <w:jc w:val="center"/>
        <w:textAlignment w:val="auto"/>
        <w:rPr>
          <w:rStyle w:val="11"/>
          <w:rFonts w:hint="eastAsia" w:ascii="方正小标宋简体" w:hAnsi="方正小标宋简体" w:eastAsia="方正小标宋简体" w:cs="方正小标宋简体"/>
          <w:color w:val="000000" w:themeColor="text1"/>
          <w:sz w:val="44"/>
          <w:szCs w:val="44"/>
          <w:lang w:val="en-US" w:eastAsia="zh-CN" w:bidi="ar"/>
          <w14:textFill>
            <w14:solidFill>
              <w14:schemeClr w14:val="tx1"/>
            </w14:solidFill>
          </w14:textFill>
        </w:rPr>
      </w:pPr>
      <w:r>
        <w:rPr>
          <w:rStyle w:val="11"/>
          <w:rFonts w:hint="eastAsia" w:ascii="方正小标宋简体" w:hAnsi="方正小标宋简体" w:eastAsia="方正小标宋简体" w:cs="方正小标宋简体"/>
          <w:color w:val="000000" w:themeColor="text1"/>
          <w:sz w:val="44"/>
          <w:szCs w:val="44"/>
          <w:lang w:val="en-US" w:eastAsia="zh-CN" w:bidi="ar"/>
          <w14:textFill>
            <w14:solidFill>
              <w14:schemeClr w14:val="tx1"/>
            </w14:solidFill>
          </w14:textFill>
        </w:rPr>
        <w:t>国家税务总局息烽县税务局</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560" w:lineRule="exact"/>
        <w:ind w:firstLine="0" w:firstLineChars="0"/>
        <w:jc w:val="center"/>
        <w:textAlignment w:val="auto"/>
        <w:rPr>
          <w:rStyle w:val="11"/>
          <w:rFonts w:hint="eastAsia" w:ascii="方正小标宋简体" w:hAnsi="方正小标宋简体" w:eastAsia="方正小标宋简体" w:cs="方正小标宋简体"/>
          <w:color w:val="000000" w:themeColor="text1"/>
          <w:sz w:val="44"/>
          <w:szCs w:val="44"/>
          <w:lang w:val="en-US" w:eastAsia="zh-CN" w:bidi="ar"/>
          <w14:textFill>
            <w14:solidFill>
              <w14:schemeClr w14:val="tx1"/>
            </w14:solidFill>
          </w14:textFill>
        </w:rPr>
      </w:pPr>
      <w:r>
        <w:rPr>
          <w:rStyle w:val="11"/>
          <w:rFonts w:hint="eastAsia" w:ascii="方正小标宋简体" w:hAnsi="方正小标宋简体" w:eastAsia="方正小标宋简体" w:cs="方正小标宋简体"/>
          <w:color w:val="000000" w:themeColor="text1"/>
          <w:sz w:val="44"/>
          <w:szCs w:val="44"/>
          <w:lang w:val="en-US" w:eastAsia="zh-CN" w:bidi="ar"/>
          <w14:textFill>
            <w14:solidFill>
              <w14:schemeClr w14:val="tx1"/>
            </w14:solidFill>
          </w14:textFill>
        </w:rPr>
        <w:t>2023年政府信息公开工作年度报告</w:t>
      </w:r>
    </w:p>
    <w:p>
      <w:pPr>
        <w:pStyle w:val="2"/>
        <w:overflowPunct w:val="0"/>
        <w:spacing w:after="0" w:line="560" w:lineRule="exact"/>
        <w:ind w:firstLine="640" w:firstLineChars="200"/>
        <w:rPr>
          <w:rFonts w:hint="eastAsia"/>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firstLine="640" w:firstLineChars="200"/>
        <w:jc w:val="both"/>
        <w:textAlignment w:val="auto"/>
        <w:rPr>
          <w:rStyle w:val="11"/>
          <w:color w:val="000000" w:themeColor="text1"/>
          <w:lang w:val="en-US" w:eastAsia="zh-CN" w:bidi="ar"/>
          <w14:textFill>
            <w14:solidFill>
              <w14:schemeClr w14:val="tx1"/>
            </w14:solidFill>
          </w14:textFill>
        </w:rPr>
      </w:pPr>
      <w:r>
        <w:rPr>
          <w:rStyle w:val="11"/>
          <w:color w:val="000000" w:themeColor="text1"/>
          <w:lang w:val="en-US" w:eastAsia="zh-CN" w:bidi="ar"/>
          <w14:textFill>
            <w14:solidFill>
              <w14:schemeClr w14:val="tx1"/>
            </w14:solidFill>
          </w14:textFill>
        </w:rPr>
        <w:t>根据《中华人民共和国政府信息公开条例》（国务院令第711号，以下简称《条例》）和《国务院办公厅政府信息与政务公开办公室关于政府信息公开工作年度报告有关事项的通知》（国办公开办函〔2019〕60号）、《国务院办公厅政府信息与政务公开办公室关于印发＜中华人民共和国政府信息公开工作年度报告格式＞的通知》（国办公开办函〔2021〕30号）要求，特向社会公布《</w:t>
      </w:r>
      <w:r>
        <w:rPr>
          <w:rStyle w:val="11"/>
          <w:color w:val="000000" w:themeColor="text1"/>
          <w:lang w:bidi="ar"/>
          <w14:textFill>
            <w14:solidFill>
              <w14:schemeClr w14:val="tx1"/>
            </w14:solidFill>
          </w14:textFill>
        </w:rPr>
        <w:t>国家税务总局</w:t>
      </w:r>
      <w:r>
        <w:rPr>
          <w:rStyle w:val="11"/>
          <w:color w:val="000000" w:themeColor="text1"/>
          <w:lang w:val="en-US" w:eastAsia="zh-CN" w:bidi="ar"/>
          <w14:textFill>
            <w14:solidFill>
              <w14:schemeClr w14:val="tx1"/>
            </w14:solidFill>
          </w14:textFill>
        </w:rPr>
        <w:t>息烽县</w:t>
      </w:r>
      <w:r>
        <w:rPr>
          <w:rStyle w:val="11"/>
          <w:rFonts w:hint="eastAsia"/>
          <w:color w:val="000000" w:themeColor="text1"/>
          <w:lang w:val="en-US" w:eastAsia="zh-CN" w:bidi="ar"/>
          <w14:textFill>
            <w14:solidFill>
              <w14:schemeClr w14:val="tx1"/>
            </w14:solidFill>
          </w14:textFill>
        </w:rPr>
        <w:t>税务局</w:t>
      </w:r>
      <w:r>
        <w:rPr>
          <w:rStyle w:val="11"/>
          <w:color w:val="000000" w:themeColor="text1"/>
          <w:lang w:val="en-US" w:eastAsia="zh-CN" w:bidi="ar"/>
          <w14:textFill>
            <w14:solidFill>
              <w14:schemeClr w14:val="tx1"/>
            </w14:solidFill>
          </w14:textFill>
        </w:rPr>
        <w:t>2023年政府信息公开工作年度报告》。</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firstLine="640" w:firstLineChars="200"/>
        <w:jc w:val="both"/>
        <w:textAlignment w:val="auto"/>
        <w:rPr>
          <w:rStyle w:val="11"/>
          <w:color w:val="000000" w:themeColor="text1"/>
          <w:lang w:val="en-US" w:eastAsia="zh-CN" w:bidi="ar"/>
          <w14:textFill>
            <w14:solidFill>
              <w14:schemeClr w14:val="tx1"/>
            </w14:solidFill>
          </w14:textFill>
        </w:rPr>
      </w:pPr>
      <w:r>
        <w:rPr>
          <w:rStyle w:val="11"/>
          <w:color w:val="000000" w:themeColor="text1"/>
          <w:lang w:val="en-US" w:eastAsia="zh-CN" w:bidi="ar"/>
          <w14:textFill>
            <w14:solidFill>
              <w14:schemeClr w14:val="tx1"/>
            </w14:solidFill>
          </w14:textFill>
        </w:rPr>
        <w:t>本报告包括总体情况、主动公开政府信息情况、收到和处理政府信息公开申请情况、政府信息公开行政复议和行政诉讼情况、存在的主要问题及改进情况、其他需要报告的事项等六个部分。除特别说明的外，所列数据统计时限为2023年1月1日至2023年12月31日。</w:t>
      </w:r>
      <w:r>
        <w:rPr>
          <w:rStyle w:val="11"/>
          <w:rFonts w:hint="eastAsia"/>
          <w:color w:val="000000" w:themeColor="text1"/>
          <w:lang w:val="en-US" w:eastAsia="zh-CN" w:bidi="ar"/>
          <w14:textFill>
            <w14:solidFill>
              <w14:schemeClr w14:val="tx1"/>
            </w14:solidFill>
          </w14:textFill>
        </w:rPr>
        <w:t>报告电子版可在国家税务总局贵州省税务局网站（https://guizhou.chinatax.gov.cn/）查阅</w:t>
      </w:r>
      <w:r>
        <w:rPr>
          <w:rStyle w:val="11"/>
          <w:color w:val="000000" w:themeColor="text1"/>
          <w:lang w:val="en-US" w:eastAsia="zh-CN" w:bidi="ar"/>
          <w14:textFill>
            <w14:solidFill>
              <w14:schemeClr w14:val="tx1"/>
            </w14:solidFill>
          </w14:textFill>
        </w:rPr>
        <w:t>。公众如需进一步咨询了解相关信息，请</w:t>
      </w:r>
      <w:r>
        <w:rPr>
          <w:rStyle w:val="11"/>
          <w:rFonts w:hint="eastAsia"/>
          <w:color w:val="000000" w:themeColor="text1"/>
          <w:lang w:val="en-US" w:eastAsia="zh-CN" w:bidi="ar"/>
          <w14:textFill>
            <w14:solidFill>
              <w14:schemeClr w14:val="tx1"/>
            </w14:solidFill>
          </w14:textFill>
        </w:rPr>
        <w:t>致电</w:t>
      </w:r>
      <w:r>
        <w:rPr>
          <w:rStyle w:val="11"/>
          <w:color w:val="000000" w:themeColor="text1"/>
          <w:lang w:val="en-US" w:eastAsia="zh-CN" w:bidi="ar"/>
          <w14:textFill>
            <w14:solidFill>
              <w14:schemeClr w14:val="tx1"/>
            </w14:solidFill>
          </w14:textFill>
        </w:rPr>
        <w:t>国家税务总局息烽县税务局（联系电话：0851-87721324）。</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firstLine="640" w:firstLineChars="200"/>
        <w:jc w:val="both"/>
        <w:textAlignment w:val="auto"/>
        <w:rPr>
          <w:rStyle w:val="13"/>
          <w:color w:val="000000" w:themeColor="text1"/>
          <w:sz w:val="32"/>
          <w:szCs w:val="32"/>
          <w:lang w:val="en-US" w:eastAsia="zh-CN" w:bidi="ar"/>
          <w14:textFill>
            <w14:solidFill>
              <w14:schemeClr w14:val="tx1"/>
            </w14:solidFill>
          </w14:textFill>
        </w:rPr>
      </w:pPr>
      <w:r>
        <w:rPr>
          <w:rStyle w:val="12"/>
          <w:rFonts w:hint="eastAsia"/>
          <w:color w:val="000000" w:themeColor="text1"/>
          <w:lang w:val="en-US" w:eastAsia="zh-CN" w:bidi="ar"/>
          <w14:textFill>
            <w14:solidFill>
              <w14:schemeClr w14:val="tx1"/>
            </w14:solidFill>
          </w14:textFill>
        </w:rPr>
        <w:t>一、</w:t>
      </w:r>
      <w:r>
        <w:rPr>
          <w:rStyle w:val="12"/>
          <w:color w:val="000000" w:themeColor="text1"/>
          <w:lang w:val="en-US" w:eastAsia="zh-CN" w:bidi="ar"/>
          <w14:textFill>
            <w14:solidFill>
              <w14:schemeClr w14:val="tx1"/>
            </w14:solidFill>
          </w14:textFill>
        </w:rPr>
        <w:t>总体情况</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Style w:val="11"/>
          <w:color w:val="000000" w:themeColor="text1"/>
          <w:lang w:bidi="ar"/>
          <w14:textFill>
            <w14:solidFill>
              <w14:schemeClr w14:val="tx1"/>
            </w14:solidFill>
          </w14:textFill>
        </w:rPr>
      </w:pPr>
      <w:r>
        <w:rPr>
          <w:rStyle w:val="11"/>
          <w:color w:val="000000" w:themeColor="text1"/>
          <w:lang w:bidi="ar"/>
          <w14:textFill>
            <w14:solidFill>
              <w14:schemeClr w14:val="tx1"/>
            </w14:solidFill>
          </w14:textFill>
        </w:rPr>
        <w:t>2023年，</w:t>
      </w:r>
      <w:r>
        <w:rPr>
          <w:rStyle w:val="11"/>
          <w:rFonts w:hint="eastAsia"/>
          <w:color w:val="000000" w:themeColor="text1"/>
          <w:lang w:bidi="ar"/>
          <w14:textFill>
            <w14:solidFill>
              <w14:schemeClr w14:val="tx1"/>
            </w14:solidFill>
          </w14:textFill>
        </w:rPr>
        <w:t>国家税务总局息烽县税务局</w:t>
      </w:r>
      <w:r>
        <w:rPr>
          <w:rStyle w:val="11"/>
          <w:rFonts w:hint="eastAsia" w:eastAsia="仿宋_GB2312"/>
          <w:color w:val="000000" w:themeColor="text1"/>
          <w:lang w:eastAsia="zh-CN" w:bidi="ar"/>
          <w14:textFill>
            <w14:solidFill>
              <w14:schemeClr w14:val="tx1"/>
            </w14:solidFill>
          </w14:textFill>
        </w:rPr>
        <w:t>（</w:t>
      </w:r>
      <w:r>
        <w:rPr>
          <w:rStyle w:val="11"/>
          <w:rFonts w:hint="eastAsia" w:eastAsia="仿宋_GB2312"/>
          <w:color w:val="000000" w:themeColor="text1"/>
          <w:lang w:val="en-US" w:eastAsia="zh-CN" w:bidi="ar"/>
          <w14:textFill>
            <w14:solidFill>
              <w14:schemeClr w14:val="tx1"/>
            </w14:solidFill>
          </w14:textFill>
        </w:rPr>
        <w:t>以下简称“</w:t>
      </w:r>
      <w:r>
        <w:rPr>
          <w:rStyle w:val="11"/>
          <w:color w:val="000000" w:themeColor="text1"/>
          <w:lang w:bidi="ar"/>
          <w14:textFill>
            <w14:solidFill>
              <w14:schemeClr w14:val="tx1"/>
            </w14:solidFill>
          </w14:textFill>
        </w:rPr>
        <w:t>息烽县税务局</w:t>
      </w:r>
      <w:r>
        <w:rPr>
          <w:rStyle w:val="11"/>
          <w:rFonts w:hint="eastAsia" w:eastAsia="仿宋_GB2312"/>
          <w:color w:val="000000" w:themeColor="text1"/>
          <w:lang w:val="en-US" w:eastAsia="zh-CN" w:bidi="ar"/>
          <w14:textFill>
            <w14:solidFill>
              <w14:schemeClr w14:val="tx1"/>
            </w14:solidFill>
          </w14:textFill>
        </w:rPr>
        <w:t>”</w:t>
      </w:r>
      <w:r>
        <w:rPr>
          <w:rStyle w:val="11"/>
          <w:rFonts w:hint="eastAsia" w:eastAsia="仿宋_GB2312"/>
          <w:color w:val="000000" w:themeColor="text1"/>
          <w:lang w:eastAsia="zh-CN" w:bidi="ar"/>
          <w14:textFill>
            <w14:solidFill>
              <w14:schemeClr w14:val="tx1"/>
            </w14:solidFill>
          </w14:textFill>
        </w:rPr>
        <w:t>）</w:t>
      </w:r>
      <w:r>
        <w:rPr>
          <w:rStyle w:val="11"/>
          <w:color w:val="000000" w:themeColor="text1"/>
          <w:lang w:bidi="ar"/>
          <w14:textFill>
            <w14:solidFill>
              <w14:schemeClr w14:val="tx1"/>
            </w14:solidFill>
          </w14:textFill>
        </w:rPr>
        <w:t>认真贯彻落实《条例》，按照政务公开工作要求，坚持“公开为常态、不公开为例外”的原则，以服务纳税人缴费人为中心，以纳税人缴费人需求为导向，持续在抓实精细服务、抓好税收宣传、保障纳税人缴费人合法权益等方面下功夫，加大公开力度，全面提升纳税人缴费人体验感、获得感、满意度。</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Style w:val="11"/>
          <w:color w:val="000000" w:themeColor="text1"/>
          <w:lang w:bidi="ar"/>
          <w14:textFill>
            <w14:solidFill>
              <w14:schemeClr w14:val="tx1"/>
            </w14:solidFill>
          </w14:textFill>
        </w:rPr>
      </w:pPr>
      <w:r>
        <w:rPr>
          <w:rFonts w:hint="eastAsia" w:ascii="楷体_GB2312" w:hAnsi="楷体_GB2312" w:eastAsia="楷体_GB2312" w:cs="楷体_GB2312"/>
          <w:snapToGrid w:val="0"/>
          <w:color w:val="000000" w:themeColor="text1"/>
          <w:kern w:val="0"/>
          <w:sz w:val="32"/>
          <w:szCs w:val="32"/>
          <w:lang w:eastAsia="zh-CN"/>
          <w14:textFill>
            <w14:solidFill>
              <w14:schemeClr w14:val="tx1"/>
            </w14:solidFill>
          </w14:textFill>
        </w:rPr>
        <w:t>（一）</w:t>
      </w:r>
      <w:r>
        <w:rPr>
          <w:rFonts w:hint="eastAsia" w:ascii="楷体_GB2312" w:hAnsi="楷体_GB2312" w:eastAsia="楷体_GB2312" w:cs="楷体_GB2312"/>
          <w:snapToGrid w:val="0"/>
          <w:color w:val="000000" w:themeColor="text1"/>
          <w:kern w:val="0"/>
          <w:sz w:val="32"/>
          <w:szCs w:val="32"/>
          <w14:textFill>
            <w14:solidFill>
              <w14:schemeClr w14:val="tx1"/>
            </w14:solidFill>
          </w14:textFill>
        </w:rPr>
        <w:t>主动公开。</w:t>
      </w:r>
      <w:r>
        <w:rPr>
          <w:rStyle w:val="11"/>
          <w:rFonts w:hint="eastAsia" w:ascii="仿宋_GB2312" w:hAnsi="仿宋_GB2312" w:eastAsia="仿宋_GB2312" w:cs="仿宋_GB2312"/>
          <w:b w:val="0"/>
          <w:bCs w:val="0"/>
          <w:color w:val="000000" w:themeColor="text1"/>
          <w:sz w:val="32"/>
          <w:szCs w:val="32"/>
          <w:lang w:bidi="ar"/>
          <w14:textFill>
            <w14:solidFill>
              <w14:schemeClr w14:val="tx1"/>
            </w14:solidFill>
          </w14:textFill>
        </w:rPr>
        <w:t>息烽县税务局全面落实政府信息公开有关要求。一是主动公开政务信息。围绕社会公众最关心的问题，及时通过息烽县人民政府门户网站税收管理栏目主动公开各项涉税信息。2023年，息烽县税务局通过息烽县人民政府门户网站税收管理栏目公开行政许可、办税流程、减税降费等涉税信息176次。二是线上线下多种宣传。积极开展线上线下多渠道宣传，2023年结合各项税收宣传活动，发放税收优惠政策宣传册1000余份，依托税企互动平台开展线上直</w:t>
      </w:r>
      <w:r>
        <w:rPr>
          <w:rStyle w:val="11"/>
          <w:color w:val="000000" w:themeColor="text1"/>
          <w:lang w:bidi="ar"/>
          <w14:textFill>
            <w14:solidFill>
              <w14:schemeClr w14:val="tx1"/>
            </w14:solidFill>
          </w14:textFill>
        </w:rPr>
        <w:t>播21期；及时通过政务大厅宣传栏、短信等渠道向纳税人普及最新税收优惠政策，2023年，共通过税企互动平台等向纳税人缴费人推送税费政策和办税指南等153次，覆盖8800余户纳税人。</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Style w:val="11"/>
          <w:color w:val="000000" w:themeColor="text1"/>
          <w:lang w:bidi="ar"/>
          <w14:textFill>
            <w14:solidFill>
              <w14:schemeClr w14:val="tx1"/>
            </w14:solidFill>
          </w14:textFill>
        </w:rPr>
      </w:pPr>
      <w:r>
        <w:rPr>
          <w:rFonts w:hint="eastAsia" w:ascii="楷体_GB2312" w:hAnsi="楷体_GB2312" w:eastAsia="楷体_GB2312" w:cs="楷体_GB2312"/>
          <w:snapToGrid w:val="0"/>
          <w:color w:val="000000" w:themeColor="text1"/>
          <w:kern w:val="0"/>
          <w:sz w:val="32"/>
          <w:szCs w:val="32"/>
          <w14:textFill>
            <w14:solidFill>
              <w14:schemeClr w14:val="tx1"/>
            </w14:solidFill>
          </w14:textFill>
        </w:rPr>
        <w:t>（二）依申请公开。</w:t>
      </w:r>
      <w:r>
        <w:rPr>
          <w:rStyle w:val="11"/>
          <w:color w:val="000000" w:themeColor="text1"/>
          <w:lang w:bidi="ar"/>
          <w14:textFill>
            <w14:solidFill>
              <w14:schemeClr w14:val="tx1"/>
            </w14:solidFill>
          </w14:textFill>
        </w:rPr>
        <w:t>2023年，息烽县税务局未收到依申请公开申请，无因政府信息公开引起的行政复议和行政诉讼。</w:t>
      </w:r>
    </w:p>
    <w:p>
      <w:pPr>
        <w:keepNext w:val="0"/>
        <w:keepLines w:val="0"/>
        <w:pageBreakBefore w:val="0"/>
        <w:widowControl w:val="0"/>
        <w:tabs>
          <w:tab w:val="left" w:pos="420"/>
          <w:tab w:val="left" w:pos="9240"/>
        </w:tabs>
        <w:kinsoku/>
        <w:wordWrap/>
        <w:overflowPunct w:val="0"/>
        <w:topLinePunct w:val="0"/>
        <w:autoSpaceDE/>
        <w:autoSpaceDN/>
        <w:bidi w:val="0"/>
        <w:adjustRightInd/>
        <w:snapToGrid/>
        <w:spacing w:line="600" w:lineRule="exact"/>
        <w:ind w:firstLine="640" w:firstLineChars="200"/>
        <w:jc w:val="both"/>
        <w:textAlignment w:val="auto"/>
        <w:rPr>
          <w:rStyle w:val="11"/>
          <w:color w:val="000000" w:themeColor="text1"/>
          <w:lang w:bidi="ar"/>
          <w14:textFill>
            <w14:solidFill>
              <w14:schemeClr w14:val="tx1"/>
            </w14:solidFill>
          </w14:textFill>
        </w:rPr>
      </w:pPr>
      <w:r>
        <w:rPr>
          <w:rFonts w:hint="eastAsia" w:ascii="楷体_GB2312" w:hAnsi="宋体" w:eastAsia="楷体_GB2312"/>
          <w:snapToGrid w:val="0"/>
          <w:color w:val="000000" w:themeColor="text1"/>
          <w:kern w:val="0"/>
          <w:sz w:val="32"/>
          <w:szCs w:val="32"/>
          <w14:textFill>
            <w14:solidFill>
              <w14:schemeClr w14:val="tx1"/>
            </w14:solidFill>
          </w14:textFill>
        </w:rPr>
        <w:t>（三）政府信息管理。</w:t>
      </w:r>
      <w:r>
        <w:rPr>
          <w:rStyle w:val="11"/>
          <w:color w:val="000000" w:themeColor="text1"/>
          <w:lang w:bidi="ar"/>
          <w14:textFill>
            <w14:solidFill>
              <w14:schemeClr w14:val="tx1"/>
            </w14:solidFill>
          </w14:textFill>
        </w:rPr>
        <w:t>严格执行信息公开保密审查制度，遵循“一事一审”原则，规范发布流程，建立信息公开台账，严格把关政府信息公开审核，确保政府信息的严谨性和准确性。</w:t>
      </w:r>
    </w:p>
    <w:p>
      <w:pPr>
        <w:keepNext w:val="0"/>
        <w:keepLines w:val="0"/>
        <w:pageBreakBefore w:val="0"/>
        <w:widowControl w:val="0"/>
        <w:tabs>
          <w:tab w:val="left" w:pos="420"/>
          <w:tab w:val="left" w:pos="9240"/>
        </w:tabs>
        <w:kinsoku/>
        <w:wordWrap/>
        <w:overflowPunct w:val="0"/>
        <w:topLinePunct w:val="0"/>
        <w:autoSpaceDE/>
        <w:autoSpaceDN/>
        <w:bidi w:val="0"/>
        <w:adjustRightInd/>
        <w:snapToGrid/>
        <w:spacing w:line="600" w:lineRule="exact"/>
        <w:ind w:firstLine="640" w:firstLineChars="200"/>
        <w:jc w:val="both"/>
        <w:textAlignment w:val="auto"/>
        <w:rPr>
          <w:rStyle w:val="11"/>
          <w:color w:val="000000" w:themeColor="text1"/>
          <w:lang w:bidi="ar"/>
          <w14:textFill>
            <w14:solidFill>
              <w14:schemeClr w14:val="tx1"/>
            </w14:solidFill>
          </w14:textFill>
        </w:rPr>
      </w:pPr>
      <w:r>
        <w:rPr>
          <w:rFonts w:hint="eastAsia" w:ascii="楷体_GB2312" w:hAnsi="宋体" w:eastAsia="楷体_GB2312"/>
          <w:snapToGrid w:val="0"/>
          <w:color w:val="000000" w:themeColor="text1"/>
          <w:kern w:val="0"/>
          <w:sz w:val="32"/>
          <w:szCs w:val="32"/>
          <w14:textFill>
            <w14:solidFill>
              <w14:schemeClr w14:val="tx1"/>
            </w14:solidFill>
          </w14:textFill>
        </w:rPr>
        <w:t>（四）平台建设。</w:t>
      </w:r>
      <w:r>
        <w:rPr>
          <w:rStyle w:val="11"/>
          <w:color w:val="000000" w:themeColor="text1"/>
          <w:lang w:bidi="ar"/>
          <w14:textFill>
            <w14:solidFill>
              <w14:schemeClr w14:val="tx1"/>
            </w14:solidFill>
          </w14:textFill>
        </w:rPr>
        <w:t>为进一步加大信息公开力度，除息烽县人民政府门户网站外，息烽县税务局还通过宣传栏、宣传册、展板、悬挂LED屏等及时公开政府信息，切实保障纳税人缴费人知情权。</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Style w:val="11"/>
          <w:color w:val="000000" w:themeColor="text1"/>
          <w:lang w:bidi="ar"/>
          <w14:textFill>
            <w14:solidFill>
              <w14:schemeClr w14:val="tx1"/>
            </w14:solidFill>
          </w14:textFill>
        </w:rPr>
      </w:pPr>
      <w:r>
        <w:rPr>
          <w:rFonts w:hint="eastAsia" w:ascii="楷体_GB2312" w:hAnsi="宋体" w:eastAsia="楷体_GB2312"/>
          <w:snapToGrid w:val="0"/>
          <w:color w:val="000000" w:themeColor="text1"/>
          <w:kern w:val="0"/>
          <w:sz w:val="32"/>
          <w:szCs w:val="32"/>
          <w14:textFill>
            <w14:solidFill>
              <w14:schemeClr w14:val="tx1"/>
            </w14:solidFill>
          </w14:textFill>
        </w:rPr>
        <w:t>（五）监督保障。</w:t>
      </w:r>
      <w:r>
        <w:rPr>
          <w:rFonts w:hint="eastAsia" w:ascii="仿宋_GB2312" w:hAnsi="宋体" w:eastAsia="仿宋_GB2312"/>
          <w:b w:val="0"/>
          <w:bCs/>
          <w:snapToGrid w:val="0"/>
          <w:color w:val="000000" w:themeColor="text1"/>
          <w:kern w:val="0"/>
          <w:sz w:val="32"/>
          <w:szCs w:val="32"/>
          <w14:textFill>
            <w14:solidFill>
              <w14:schemeClr w14:val="tx1"/>
            </w14:solidFill>
          </w14:textFill>
        </w:rPr>
        <w:t>一是</w:t>
      </w:r>
      <w:r>
        <w:rPr>
          <w:rStyle w:val="11"/>
          <w:bCs/>
          <w:color w:val="000000" w:themeColor="text1"/>
          <w:lang w:bidi="ar"/>
          <w14:textFill>
            <w14:solidFill>
              <w14:schemeClr w14:val="tx1"/>
            </w14:solidFill>
          </w14:textFill>
        </w:rPr>
        <w:t>加强统筹安排，成立政府信息公开领导小组，统筹推进政府信息公开工作。</w:t>
      </w:r>
      <w:r>
        <w:rPr>
          <w:rFonts w:hint="eastAsia" w:ascii="仿宋_GB2312" w:hAnsi="仿宋_GB2312" w:eastAsia="仿宋_GB2312" w:cs="仿宋_GB2312"/>
          <w:b w:val="0"/>
          <w:bCs/>
          <w:snapToGrid w:val="0"/>
          <w:color w:val="000000" w:themeColor="text1"/>
          <w:kern w:val="0"/>
          <w:sz w:val="32"/>
          <w:szCs w:val="32"/>
          <w:lang w:eastAsia="zh-CN"/>
          <w14:textFill>
            <w14:solidFill>
              <w14:schemeClr w14:val="tx1"/>
            </w14:solidFill>
          </w14:textFill>
        </w:rPr>
        <w:t>二是</w:t>
      </w:r>
      <w:r>
        <w:rPr>
          <w:rStyle w:val="11"/>
          <w:bCs/>
          <w:color w:val="000000" w:themeColor="text1"/>
          <w:lang w:bidi="ar"/>
          <w14:textFill>
            <w14:solidFill>
              <w14:schemeClr w14:val="tx1"/>
            </w14:solidFill>
          </w14:textFill>
        </w:rPr>
        <w:t>贯彻落实监督员管理制度，强化政府信息公开环节监督。</w:t>
      </w:r>
      <w:r>
        <w:rPr>
          <w:rFonts w:hint="eastAsia" w:ascii="仿宋_GB2312" w:hAnsi="仿宋_GB2312" w:eastAsia="仿宋_GB2312" w:cs="仿宋_GB2312"/>
          <w:bCs/>
          <w:snapToGrid w:val="0"/>
          <w:color w:val="000000" w:themeColor="text1"/>
          <w:kern w:val="0"/>
          <w:sz w:val="32"/>
          <w:szCs w:val="32"/>
          <w:lang w:eastAsia="zh-CN"/>
          <w14:textFill>
            <w14:solidFill>
              <w14:schemeClr w14:val="tx1"/>
            </w14:solidFill>
          </w14:textFill>
        </w:rPr>
        <w:t>三</w:t>
      </w:r>
      <w:r>
        <w:rPr>
          <w:rFonts w:hint="eastAsia" w:ascii="仿宋_GB2312" w:hAnsi="仿宋_GB2312" w:eastAsia="仿宋_GB2312" w:cs="仿宋_GB2312"/>
          <w:b w:val="0"/>
          <w:bCs/>
          <w:snapToGrid w:val="0"/>
          <w:color w:val="000000" w:themeColor="text1"/>
          <w:kern w:val="0"/>
          <w:sz w:val="32"/>
          <w:szCs w:val="32"/>
          <w:lang w:eastAsia="zh-CN"/>
          <w14:textFill>
            <w14:solidFill>
              <w14:schemeClr w14:val="tx1"/>
            </w14:solidFill>
          </w14:textFill>
        </w:rPr>
        <w:t>是</w:t>
      </w:r>
      <w:r>
        <w:rPr>
          <w:rStyle w:val="11"/>
          <w:bCs/>
          <w:color w:val="000000" w:themeColor="text1"/>
          <w:lang w:bidi="ar"/>
          <w14:textFill>
            <w14:solidFill>
              <w14:schemeClr w14:val="tx1"/>
            </w14:solidFill>
          </w14:textFill>
        </w:rPr>
        <w:t>强化自查整改。在定期督查的基础上增加不定期抽查，设置专人对信息公</w:t>
      </w:r>
      <w:r>
        <w:rPr>
          <w:rStyle w:val="11"/>
          <w:color w:val="000000" w:themeColor="text1"/>
          <w:lang w:bidi="ar"/>
          <w14:textFill>
            <w14:solidFill>
              <w14:schemeClr w14:val="tx1"/>
            </w14:solidFill>
          </w14:textFill>
        </w:rPr>
        <w:t>开内容进行督查，及时</w:t>
      </w:r>
      <w:r>
        <w:rPr>
          <w:rStyle w:val="11"/>
          <w:rFonts w:hint="eastAsia" w:ascii="仿宋_GB2312" w:hAnsi="仿宋_GB2312" w:eastAsia="仿宋_GB2312" w:cs="仿宋_GB2312"/>
          <w:color w:val="000000" w:themeColor="text1"/>
          <w:sz w:val="32"/>
          <w:szCs w:val="32"/>
          <w:lang w:eastAsia="zh-CN" w:bidi="ar"/>
          <w14:textFill>
            <w14:solidFill>
              <w14:schemeClr w14:val="tx1"/>
            </w14:solidFill>
          </w14:textFill>
        </w:rPr>
        <w:t>反馈</w:t>
      </w:r>
      <w:r>
        <w:rPr>
          <w:rStyle w:val="11"/>
          <w:color w:val="000000" w:themeColor="text1"/>
          <w:lang w:bidi="ar"/>
          <w14:textFill>
            <w14:solidFill>
              <w14:schemeClr w14:val="tx1"/>
            </w14:solidFill>
          </w14:textFill>
        </w:rPr>
        <w:t>督查结果，同步做好整改，保障政府信息公开质量。</w:t>
      </w:r>
    </w:p>
    <w:p>
      <w:pPr>
        <w:overflowPunct w:val="0"/>
        <w:spacing w:line="560" w:lineRule="exact"/>
        <w:ind w:firstLine="640" w:firstLineChars="200"/>
        <w:rPr>
          <w:color w:val="000000" w:themeColor="text1"/>
          <w:sz w:val="32"/>
          <w:szCs w:val="32"/>
          <w14:textFill>
            <w14:solidFill>
              <w14:schemeClr w14:val="tx1"/>
            </w14:solidFill>
          </w14:textFill>
        </w:rPr>
      </w:pPr>
      <w:r>
        <w:rPr>
          <w:rStyle w:val="12"/>
          <w:color w:val="000000" w:themeColor="text1"/>
          <w:lang w:val="en-US" w:eastAsia="zh-CN" w:bidi="ar"/>
          <w14:textFill>
            <w14:solidFill>
              <w14:schemeClr w14:val="tx1"/>
            </w14:solidFill>
          </w14:textFill>
        </w:rPr>
        <w:t>二、主动公开政府信息情况</w:t>
      </w:r>
    </w:p>
    <w:tbl>
      <w:tblPr>
        <w:tblStyle w:val="9"/>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line="400" w:lineRule="exact"/>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line="400" w:lineRule="exact"/>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line="400" w:lineRule="exact"/>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ascii="Calibri" w:eastAsia="宋体"/>
                <w:color w:val="000000" w:themeColor="text1"/>
                <w:lang w:val="en-US" w:eastAsia="zh-CN"/>
                <w14:textFill>
                  <w14:solidFill>
                    <w14:schemeClr w14:val="tx1"/>
                  </w14:solidFill>
                </w14:textFill>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ascii="Calibri" w:eastAsia="宋体"/>
                <w:color w:val="000000" w:themeColor="text1"/>
                <w:lang w:val="en-US" w:eastAsia="zh-CN"/>
                <w14:textFill>
                  <w14:solidFill>
                    <w14:schemeClr w14:val="tx1"/>
                  </w14:solidFill>
                </w14:textFill>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center"/>
              <w:rPr>
                <w:rFonts w:hint="default" w:eastAsia="宋体"/>
                <w:color w:val="000000" w:themeColor="text1"/>
                <w:lang w:val="en-US" w:eastAsia="zh-CN"/>
                <w14:textFill>
                  <w14:solidFill>
                    <w14:schemeClr w14:val="tx1"/>
                  </w14:solidFill>
                </w14:textFill>
              </w:rPr>
            </w:pPr>
            <w:r>
              <w:rPr>
                <w:rFonts w:hint="eastAsia" w:ascii="Calibri" w:eastAsia="宋体"/>
                <w:color w:val="000000" w:themeColor="text1"/>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line="400" w:lineRule="exact"/>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ascii="Calibri" w:eastAsia="宋体"/>
                <w:color w:val="000000" w:themeColor="text1"/>
                <w:lang w:val="en-US" w:eastAsia="zh-CN"/>
                <w14:textFill>
                  <w14:solidFill>
                    <w14:schemeClr w14:val="tx1"/>
                  </w14:solidFill>
                </w14:textFill>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center"/>
              <w:rPr>
                <w:rFonts w:hint="default" w:eastAsia="宋体"/>
                <w:color w:val="000000" w:themeColor="text1"/>
                <w:lang w:val="en-US" w:eastAsia="zh-CN"/>
                <w14:textFill>
                  <w14:solidFill>
                    <w14:schemeClr w14:val="tx1"/>
                  </w14:solidFill>
                </w14:textFill>
              </w:rPr>
            </w:pPr>
            <w:r>
              <w:rPr>
                <w:rFonts w:hint="eastAsia" w:ascii="Calibri" w:eastAsia="宋体"/>
                <w:color w:val="000000" w:themeColor="text1"/>
                <w:lang w:val="en-US" w:eastAsia="zh-CN"/>
                <w14:textFill>
                  <w14:solidFill>
                    <w14:schemeClr w14:val="tx1"/>
                  </w14:solidFill>
                </w14:textFill>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center"/>
              <w:rPr>
                <w:rFonts w:hint="default" w:eastAsia="宋体"/>
                <w:color w:val="000000" w:themeColor="text1"/>
                <w:lang w:val="en-US" w:eastAsia="zh-CN"/>
                <w14:textFill>
                  <w14:solidFill>
                    <w14:schemeClr w14:val="tx1"/>
                  </w14:solidFill>
                </w14:textFill>
              </w:rPr>
            </w:pPr>
            <w:r>
              <w:rPr>
                <w:rFonts w:hint="eastAsia" w:ascii="Calibri" w:eastAsia="宋体"/>
                <w:color w:val="000000" w:themeColor="text1"/>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5"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line="400" w:lineRule="exact"/>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line="400" w:lineRule="exact"/>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line="400" w:lineRule="exact"/>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line="400" w:lineRule="exact"/>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line="400" w:lineRule="exact"/>
              <w:ind w:left="0" w:right="0"/>
              <w:jc w:val="center"/>
              <w:rPr>
                <w:rFonts w:hint="default" w:eastAsia="宋体"/>
                <w:color w:val="000000" w:themeColor="text1"/>
                <w:lang w:val="en-US" w:eastAsia="zh-CN"/>
                <w14:textFill>
                  <w14:solidFill>
                    <w14:schemeClr w14:val="tx1"/>
                  </w14:solidFill>
                </w14:textFill>
              </w:rPr>
            </w:pPr>
            <w:r>
              <w:rPr>
                <w:rFonts w:hint="eastAsia" w:ascii="Calibri" w:eastAsia="宋体"/>
                <w:color w:val="000000" w:themeColor="text1"/>
                <w:lang w:val="en-US" w:eastAsia="zh-CN"/>
                <w14:textFill>
                  <w14:solidFill>
                    <w14:schemeClr w14:val="tx1"/>
                  </w14:solidFill>
                </w14:textFill>
              </w:rPr>
              <w:t>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line="400" w:lineRule="exact"/>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line="400" w:lineRule="exact"/>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line="400" w:lineRule="exact"/>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line="400" w:lineRule="exact"/>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line="400" w:lineRule="exact"/>
              <w:ind w:left="0" w:right="0"/>
              <w:jc w:val="center"/>
              <w:rPr>
                <w:rFonts w:hint="default" w:eastAsia="宋体"/>
                <w:color w:val="000000" w:themeColor="text1"/>
                <w:lang w:val="en-US" w:eastAsia="zh-CN"/>
                <w14:textFill>
                  <w14:solidFill>
                    <w14:schemeClr w14:val="tx1"/>
                  </w14:solidFill>
                </w14:textFill>
              </w:rPr>
            </w:pPr>
            <w:r>
              <w:rPr>
                <w:rFonts w:hint="eastAsia" w:ascii="Calibri" w:eastAsia="宋体"/>
                <w:color w:val="000000" w:themeColor="text1"/>
                <w:lang w:val="en-US" w:eastAsia="zh-CN"/>
                <w14:textFill>
                  <w14:solidFill>
                    <w14:schemeClr w14:val="tx1"/>
                  </w14:solidFill>
                </w14:textFill>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line="400" w:lineRule="exact"/>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line="400" w:lineRule="exact"/>
              <w:ind w:left="0" w:right="0"/>
              <w:jc w:val="center"/>
              <w:rPr>
                <w:rFonts w:hint="eastAsia" w:eastAsia="宋体"/>
                <w:color w:val="000000" w:themeColor="text1"/>
                <w:lang w:val="en-US" w:eastAsia="zh-CN"/>
                <w14:textFill>
                  <w14:solidFill>
                    <w14:schemeClr w14:val="tx1"/>
                  </w14:solidFill>
                </w14:textFill>
              </w:rPr>
            </w:pPr>
            <w:r>
              <w:rPr>
                <w:rFonts w:hint="eastAsia" w:ascii="Calibri" w:eastAsia="宋体"/>
                <w:color w:val="000000" w:themeColor="text1"/>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line="400" w:lineRule="exact"/>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line="400" w:lineRule="exact"/>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line="400" w:lineRule="exact"/>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line="400" w:lineRule="exact"/>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widowControl w:val="0"/>
              <w:overflowPunct w:val="0"/>
              <w:spacing w:line="400" w:lineRule="exact"/>
              <w:jc w:val="center"/>
              <w:rPr>
                <w:rFonts w:hint="default" w:ascii="宋体" w:eastAsia="宋体"/>
                <w:color w:val="000000" w:themeColor="text1"/>
                <w:sz w:val="24"/>
                <w:szCs w:val="24"/>
                <w:lang w:val="en-US" w:eastAsia="zh-CN"/>
                <w14:textFill>
                  <w14:solidFill>
                    <w14:schemeClr w14:val="tx1"/>
                  </w14:solidFill>
                </w14:textFill>
              </w:rPr>
            </w:pPr>
            <w:r>
              <w:rPr>
                <w:rFonts w:hint="eastAsia" w:ascii="宋体"/>
                <w:color w:val="000000" w:themeColor="text1"/>
                <w:sz w:val="24"/>
                <w:szCs w:val="24"/>
                <w:lang w:val="en-US" w:eastAsia="zh-CN"/>
                <w14:textFill>
                  <w14:solidFill>
                    <w14:schemeClr w14:val="tx1"/>
                  </w14:solidFill>
                </w14:textFill>
              </w:rPr>
              <w:t>0</w:t>
            </w:r>
          </w:p>
        </w:tc>
      </w:tr>
    </w:tbl>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line="560" w:lineRule="exact"/>
        <w:ind w:left="0" w:leftChars="0" w:firstLine="640" w:firstLineChars="200"/>
        <w:jc w:val="both"/>
        <w:textAlignment w:val="auto"/>
        <w:rPr>
          <w:rStyle w:val="12"/>
          <w:color w:val="000000" w:themeColor="text1"/>
          <w:sz w:val="32"/>
          <w:szCs w:val="32"/>
          <w:lang w:val="en-US" w:eastAsia="zh-CN" w:bidi="ar"/>
          <w14:textFill>
            <w14:solidFill>
              <w14:schemeClr w14:val="tx1"/>
            </w14:solidFill>
          </w14:textFill>
        </w:rPr>
      </w:pPr>
      <w:r>
        <w:rPr>
          <w:rStyle w:val="12"/>
          <w:rFonts w:hint="eastAsia"/>
          <w:color w:val="000000" w:themeColor="text1"/>
          <w:sz w:val="32"/>
          <w:szCs w:val="32"/>
          <w:lang w:val="en-US" w:eastAsia="zh-CN" w:bidi="ar"/>
          <w14:textFill>
            <w14:solidFill>
              <w14:schemeClr w14:val="tx1"/>
            </w14:solidFill>
          </w14:textFill>
        </w:rPr>
        <w:t>三、</w:t>
      </w:r>
      <w:r>
        <w:rPr>
          <w:rStyle w:val="12"/>
          <w:color w:val="000000" w:themeColor="text1"/>
          <w:sz w:val="32"/>
          <w:szCs w:val="32"/>
          <w:lang w:val="en-US" w:eastAsia="zh-CN" w:bidi="ar"/>
          <w14:textFill>
            <w14:solidFill>
              <w14:schemeClr w14:val="tx1"/>
            </w14:solidFill>
          </w14:textFill>
        </w:rPr>
        <w:t>收到和处理政府信息公开申请情况</w:t>
      </w:r>
    </w:p>
    <w:tbl>
      <w:tblPr>
        <w:tblStyle w:val="9"/>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left"/>
              <w:rPr>
                <w:color w:val="000000" w:themeColor="text1"/>
                <w14:textFill>
                  <w14:solidFill>
                    <w14:schemeClr w14:val="tx1"/>
                  </w14:solidFill>
                </w14:textFill>
              </w:rPr>
            </w:pPr>
            <w:r>
              <w:rPr>
                <w:rFonts w:hint="eastAsia" w:ascii="楷体" w:hAnsi="楷体" w:eastAsia="楷体" w:cs="楷体"/>
                <w:color w:val="000000" w:themeColor="text1"/>
                <w:kern w:val="0"/>
                <w:sz w:val="20"/>
                <w:szCs w:val="20"/>
                <w:lang w:val="en-US" w:eastAsia="zh-CN" w:bidi="ar"/>
                <w14:textFill>
                  <w14:solidFill>
                    <w14:schemeClr w14:val="tx1"/>
                  </w14:solidFill>
                </w14:textFill>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4" w:space="0"/>
            </w:tcBorders>
            <w:noWrap w:val="0"/>
            <w:tcMar>
              <w:left w:w="108" w:type="dxa"/>
              <w:right w:w="108" w:type="dxa"/>
            </w:tcMar>
            <w:vAlign w:val="center"/>
          </w:tcPr>
          <w:p>
            <w:pPr>
              <w:overflowPunct w:val="0"/>
              <w:rPr>
                <w:rFonts w:hint="eastAsia" w:ascii="宋体"/>
                <w:color w:val="000000" w:themeColor="text1"/>
                <w:sz w:val="24"/>
                <w:szCs w:val="24"/>
                <w14:textFill>
                  <w14:solidFill>
                    <w14:schemeClr w14:val="tx1"/>
                  </w14:solidFill>
                </w14:textFill>
              </w:rPr>
            </w:pPr>
          </w:p>
        </w:tc>
        <w:tc>
          <w:tcPr>
            <w:tcW w:w="688"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自然人</w:t>
            </w:r>
          </w:p>
        </w:tc>
        <w:tc>
          <w:tcPr>
            <w:tcW w:w="3440" w:type="dxa"/>
            <w:gridSpan w:val="5"/>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法人或其他组织</w:t>
            </w:r>
          </w:p>
        </w:tc>
        <w:tc>
          <w:tcPr>
            <w:tcW w:w="689" w:type="dxa"/>
            <w:vMerge w:val="restart"/>
            <w:tcBorders>
              <w:top w:val="single" w:color="auto" w:sz="8" w:space="0"/>
              <w:left w:val="single" w:color="auto" w:sz="4" w:space="0"/>
              <w:bottom w:val="outset"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4" w:space="0"/>
            </w:tcBorders>
            <w:noWrap w:val="0"/>
            <w:tcMar>
              <w:left w:w="108" w:type="dxa"/>
              <w:right w:w="108" w:type="dxa"/>
            </w:tcMar>
            <w:vAlign w:val="center"/>
          </w:tcPr>
          <w:p>
            <w:pPr>
              <w:overflowPunct w:val="0"/>
              <w:rPr>
                <w:rFonts w:hint="eastAsia" w:ascii="宋体"/>
                <w:color w:val="000000" w:themeColor="text1"/>
                <w:sz w:val="24"/>
                <w:szCs w:val="24"/>
                <w14:textFill>
                  <w14:solidFill>
                    <w14:schemeClr w14:val="tx1"/>
                  </w14:solidFill>
                </w14:textFill>
              </w:rPr>
            </w:pPr>
          </w:p>
        </w:tc>
        <w:tc>
          <w:tcPr>
            <w:tcW w:w="688"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商业</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企业</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科研</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机构</w:t>
            </w:r>
          </w:p>
        </w:tc>
        <w:tc>
          <w:tcPr>
            <w:tcW w:w="688" w:type="dxa"/>
            <w:tcBorders>
              <w:top w:val="single" w:color="auto" w:sz="8" w:space="0"/>
              <w:left w:val="single" w:color="auto" w:sz="4" w:space="0"/>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一、本年新收政府信息公开申请数量</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（二）部分公开</w:t>
            </w:r>
            <w:r>
              <w:rPr>
                <w:rFonts w:hint="eastAsia" w:ascii="楷体" w:hAnsi="楷体" w:eastAsia="楷体" w:cs="楷体"/>
                <w:color w:val="000000" w:themeColor="text1"/>
                <w:kern w:val="0"/>
                <w:sz w:val="20"/>
                <w:szCs w:val="20"/>
                <w:lang w:val="en-US" w:eastAsia="zh-CN" w:bidi="ar"/>
                <w14:textFill>
                  <w14:solidFill>
                    <w14:schemeClr w14:val="tx1"/>
                  </w14:solidFill>
                </w14:textFill>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both"/>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both"/>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both"/>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color w:val="000000" w:themeColor="text1"/>
                <w:lang w:val="en-US"/>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color w:val="000000" w:themeColor="text1"/>
                <w:lang w:val="en-US"/>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color w:val="000000" w:themeColor="text1"/>
                <w:lang w:val="en-US"/>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color w:val="000000" w:themeColor="text1"/>
                <w:lang w:val="en-US"/>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color w:val="000000" w:themeColor="text1"/>
                <w:lang w:val="en-US"/>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color w:val="000000" w:themeColor="text1"/>
                <w:lang w:val="en-US"/>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overflowPunct w:val="0"/>
              <w:rPr>
                <w:rFonts w:hint="eastAsia" w:ascii="宋体"/>
                <w:color w:val="000000" w:themeColor="text1"/>
                <w:sz w:val="24"/>
                <w:szCs w:val="24"/>
                <w14:textFill>
                  <w14:solidFill>
                    <w14:schemeClr w14:val="tx1"/>
                  </w14:solidFill>
                </w14:textFill>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color w:val="000000" w:themeColor="text1"/>
                <w:lang w:val="en-US"/>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color w:val="000000" w:themeColor="text1"/>
                <w:lang w:val="en-US"/>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color w:val="000000" w:themeColor="text1"/>
                <w:lang w:val="en-US"/>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color w:val="000000" w:themeColor="text1"/>
                <w:lang w:val="en-US"/>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color w:val="000000" w:themeColor="text1"/>
                <w:lang w:val="en-US"/>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color w:val="000000" w:themeColor="text1"/>
                <w:lang w:val="en-US"/>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color w:val="000000" w:themeColor="text1"/>
                <w:lang w:val="en-US"/>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color w:val="000000" w:themeColor="text1"/>
                <w:lang w:val="en-US"/>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color w:val="000000" w:themeColor="text1"/>
                <w:lang w:val="en-US"/>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color w:val="000000" w:themeColor="text1"/>
                <w:lang w:val="en-US"/>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color w:val="000000" w:themeColor="text1"/>
                <w:lang w:val="en-US"/>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color w:val="000000" w:themeColor="text1"/>
                <w:lang w:val="en-US"/>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default" w:ascii="Calibri" w:hAnsi="Calibri" w:eastAsia="宋体" w:cs="Calibri"/>
                <w:color w:val="000000" w:themeColor="text1"/>
                <w:kern w:val="0"/>
                <w:sz w:val="20"/>
                <w:szCs w:val="20"/>
                <w:lang w:val="en-US" w:eastAsia="zh-CN" w:bidi="ar"/>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leftChars="0" w:right="0" w:rightChars="0"/>
              <w:jc w:val="center"/>
              <w:rPr>
                <w:rFonts w:hint="eastAsia" w:ascii="Calibri" w:hAnsi="Calibri" w:eastAsia="宋体" w:cs="Calibri"/>
                <w:color w:val="000000" w:themeColor="text1"/>
                <w:kern w:val="0"/>
                <w:sz w:val="20"/>
                <w:szCs w:val="20"/>
                <w:lang w:val="en-US" w:eastAsia="zh-CN" w:bidi="ar"/>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0</w:t>
            </w:r>
          </w:p>
        </w:tc>
      </w:tr>
    </w:tbl>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Style w:val="12"/>
          <w:b w:val="0"/>
          <w:bCs w:val="0"/>
          <w:i w:val="0"/>
          <w:iCs w:val="0"/>
          <w:color w:val="000000" w:themeColor="text1"/>
          <w:sz w:val="32"/>
          <w:szCs w:val="32"/>
          <w:lang w:val="en-US" w:eastAsia="zh-CN" w:bidi="ar"/>
          <w14:textFill>
            <w14:solidFill>
              <w14:schemeClr w14:val="tx1"/>
            </w14:solidFill>
          </w14:textFill>
        </w:rPr>
      </w:pPr>
      <w:r>
        <w:rPr>
          <w:rStyle w:val="12"/>
          <w:b w:val="0"/>
          <w:bCs w:val="0"/>
          <w:i w:val="0"/>
          <w:iCs w:val="0"/>
          <w:color w:val="000000" w:themeColor="text1"/>
          <w:sz w:val="32"/>
          <w:szCs w:val="32"/>
          <w:lang w:val="en-US" w:eastAsia="zh-CN" w:bidi="ar"/>
          <w14:textFill>
            <w14:solidFill>
              <w14:schemeClr w14:val="tx1"/>
            </w14:solidFill>
          </w14:textFill>
        </w:rPr>
        <w:t>四、政府信息公开行政复议、行政诉讼情况</w:t>
      </w:r>
    </w:p>
    <w:tbl>
      <w:tblPr>
        <w:tblStyle w:val="9"/>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4"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行政复议</w:t>
            </w:r>
          </w:p>
        </w:tc>
        <w:tc>
          <w:tcPr>
            <w:tcW w:w="6503" w:type="dxa"/>
            <w:gridSpan w:val="10"/>
            <w:tcBorders>
              <w:top w:val="single" w:color="auto" w:sz="8" w:space="0"/>
              <w:left w:val="single" w:color="auto" w:sz="8" w:space="0"/>
              <w:bottom w:val="single" w:color="auto" w:sz="4" w:space="0"/>
              <w:right w:val="single" w:color="auto" w:sz="8"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结果维持</w:t>
            </w:r>
          </w:p>
        </w:tc>
        <w:tc>
          <w:tcPr>
            <w:tcW w:w="649"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纠正</w:t>
            </w:r>
          </w:p>
        </w:tc>
        <w:tc>
          <w:tcPr>
            <w:tcW w:w="649"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其他</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p>
        </w:tc>
        <w:tc>
          <w:tcPr>
            <w:tcW w:w="649"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尚未</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审结</w:t>
            </w:r>
          </w:p>
        </w:tc>
        <w:tc>
          <w:tcPr>
            <w:tcW w:w="649"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总计</w:t>
            </w:r>
          </w:p>
        </w:tc>
        <w:tc>
          <w:tcPr>
            <w:tcW w:w="3248"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未经复议直接起诉</w:t>
            </w:r>
          </w:p>
        </w:tc>
        <w:tc>
          <w:tcPr>
            <w:tcW w:w="3255"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overflowPunct w:val="0"/>
              <w:rPr>
                <w:rFonts w:hint="eastAsia" w:ascii="宋体"/>
                <w:color w:val="000000" w:themeColor="text1"/>
                <w:sz w:val="24"/>
                <w:szCs w:val="24"/>
                <w14:textFill>
                  <w14:solidFill>
                    <w14:schemeClr w14:val="tx1"/>
                  </w14:solidFill>
                </w14:textFill>
              </w:rPr>
            </w:pPr>
          </w:p>
        </w:tc>
        <w:tc>
          <w:tcPr>
            <w:tcW w:w="649"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overflowPunct w:val="0"/>
              <w:rPr>
                <w:rFonts w:hint="eastAsia" w:ascii="宋体"/>
                <w:color w:val="000000" w:themeColor="text1"/>
                <w:sz w:val="24"/>
                <w:szCs w:val="24"/>
                <w14:textFill>
                  <w14:solidFill>
                    <w14:schemeClr w14:val="tx1"/>
                  </w14:solidFill>
                </w14:textFill>
              </w:rPr>
            </w:pPr>
          </w:p>
        </w:tc>
        <w:tc>
          <w:tcPr>
            <w:tcW w:w="649"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overflowPunct w:val="0"/>
              <w:rPr>
                <w:rFonts w:hint="eastAsia" w:ascii="宋体"/>
                <w:color w:val="000000" w:themeColor="text1"/>
                <w:sz w:val="24"/>
                <w:szCs w:val="24"/>
                <w14:textFill>
                  <w14:solidFill>
                    <w14:schemeClr w14:val="tx1"/>
                  </w14:solidFill>
                </w14:textFill>
              </w:rPr>
            </w:pPr>
          </w:p>
        </w:tc>
        <w:tc>
          <w:tcPr>
            <w:tcW w:w="649"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overflowPunct w:val="0"/>
              <w:rPr>
                <w:rFonts w:hint="eastAsia" w:ascii="宋体"/>
                <w:color w:val="000000" w:themeColor="text1"/>
                <w:sz w:val="24"/>
                <w:szCs w:val="24"/>
                <w14:textFill>
                  <w14:solidFill>
                    <w14:schemeClr w14:val="tx1"/>
                  </w14:solidFill>
                </w14:textFill>
              </w:rPr>
            </w:pPr>
          </w:p>
        </w:tc>
        <w:tc>
          <w:tcPr>
            <w:tcW w:w="649"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overflowPunct w:val="0"/>
              <w:rPr>
                <w:rFonts w:hint="eastAsia" w:ascii="宋体"/>
                <w:color w:val="000000" w:themeColor="text1"/>
                <w:sz w:val="24"/>
                <w:szCs w:val="24"/>
                <w14:textFill>
                  <w14:solidFill>
                    <w14:schemeClr w14:val="tx1"/>
                  </w14:solidFill>
                </w14:textFill>
              </w:rPr>
            </w:pPr>
          </w:p>
        </w:tc>
        <w:tc>
          <w:tcPr>
            <w:tcW w:w="64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维持</w:t>
            </w:r>
          </w:p>
        </w:tc>
        <w:tc>
          <w:tcPr>
            <w:tcW w:w="64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纠正</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其他</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尚未</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审结</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总计</w:t>
            </w:r>
          </w:p>
        </w:tc>
        <w:tc>
          <w:tcPr>
            <w:tcW w:w="6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维持</w:t>
            </w:r>
          </w:p>
        </w:tc>
        <w:tc>
          <w:tcPr>
            <w:tcW w:w="6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纠正</w:t>
            </w:r>
          </w:p>
        </w:tc>
        <w:tc>
          <w:tcPr>
            <w:tcW w:w="6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其他</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p>
        </w:tc>
        <w:tc>
          <w:tcPr>
            <w:tcW w:w="6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尚未</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审结</w:t>
            </w:r>
          </w:p>
        </w:tc>
        <w:tc>
          <w:tcPr>
            <w:tcW w:w="6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rFonts w:hint="default" w:eastAsia="宋体"/>
                <w:color w:val="000000" w:themeColor="text1"/>
                <w:lang w:val="en-US" w:eastAsia="zh-CN"/>
                <w14:textFill>
                  <w14:solidFill>
                    <w14:schemeClr w14:val="tx1"/>
                  </w14:solidFill>
                </w14:textFill>
              </w:rPr>
            </w:pPr>
            <w:r>
              <w:rPr>
                <w:rFonts w:hint="eastAsia" w:ascii="Calibri" w:eastAsia="宋体"/>
                <w:color w:val="000000" w:themeColor="text1"/>
                <w:lang w:val="en-US" w:eastAsia="zh-CN"/>
                <w14:textFill>
                  <w14:solidFill>
                    <w14:schemeClr w14:val="tx1"/>
                  </w14:solidFill>
                </w14:textFill>
              </w:rPr>
              <w:t>0</w:t>
            </w:r>
          </w:p>
        </w:tc>
        <w:tc>
          <w:tcPr>
            <w:tcW w:w="64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rFonts w:hint="eastAsia" w:eastAsia="宋体"/>
                <w:color w:val="000000" w:themeColor="text1"/>
                <w:lang w:val="en-US" w:eastAsia="zh-CN"/>
                <w14:textFill>
                  <w14:solidFill>
                    <w14:schemeClr w14:val="tx1"/>
                  </w14:solidFill>
                </w14:textFill>
              </w:rPr>
            </w:pPr>
            <w:r>
              <w:rPr>
                <w:rFonts w:hint="eastAsia" w:ascii="Calibri" w:eastAsia="宋体"/>
                <w:color w:val="000000" w:themeColor="text1"/>
                <w:lang w:val="en-US" w:eastAsia="zh-CN"/>
                <w14:textFill>
                  <w14:solidFill>
                    <w14:schemeClr w14:val="tx1"/>
                  </w14:solidFill>
                </w14:textFill>
              </w:rPr>
              <w:t>0</w:t>
            </w:r>
          </w:p>
        </w:tc>
        <w:tc>
          <w:tcPr>
            <w:tcW w:w="64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rFonts w:hint="eastAsia" w:eastAsia="宋体"/>
                <w:color w:val="000000" w:themeColor="text1"/>
                <w:lang w:val="en-US" w:eastAsia="zh-CN"/>
                <w14:textFill>
                  <w14:solidFill>
                    <w14:schemeClr w14:val="tx1"/>
                  </w14:solidFill>
                </w14:textFill>
              </w:rPr>
            </w:pPr>
            <w:r>
              <w:rPr>
                <w:rFonts w:hint="eastAsia" w:ascii="Calibri" w:eastAsia="宋体"/>
                <w:color w:val="000000" w:themeColor="text1"/>
                <w:lang w:val="en-US" w:eastAsia="zh-CN"/>
                <w14:textFill>
                  <w14:solidFill>
                    <w14:schemeClr w14:val="tx1"/>
                  </w14:solidFill>
                </w14:textFill>
              </w:rPr>
              <w:t>0</w:t>
            </w:r>
          </w:p>
        </w:tc>
        <w:tc>
          <w:tcPr>
            <w:tcW w:w="64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rFonts w:hint="eastAsia" w:eastAsia="宋体"/>
                <w:color w:val="000000" w:themeColor="text1"/>
                <w:lang w:val="en-US" w:eastAsia="zh-CN"/>
                <w14:textFill>
                  <w14:solidFill>
                    <w14:schemeClr w14:val="tx1"/>
                  </w14:solidFill>
                </w14:textFill>
              </w:rPr>
            </w:pPr>
            <w:r>
              <w:rPr>
                <w:rFonts w:hint="eastAsia" w:ascii="Calibri" w:eastAsia="宋体"/>
                <w:color w:val="000000" w:themeColor="text1"/>
                <w:lang w:val="en-US" w:eastAsia="zh-CN"/>
                <w14:textFill>
                  <w14:solidFill>
                    <w14:schemeClr w14:val="tx1"/>
                  </w14:solidFill>
                </w14:textFill>
              </w:rPr>
              <w:t>0</w:t>
            </w:r>
          </w:p>
        </w:tc>
        <w:tc>
          <w:tcPr>
            <w:tcW w:w="64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rFonts w:hint="eastAsia" w:eastAsia="宋体"/>
                <w:color w:val="000000" w:themeColor="text1"/>
                <w:lang w:val="en-US" w:eastAsia="zh-CN"/>
                <w14:textFill>
                  <w14:solidFill>
                    <w14:schemeClr w14:val="tx1"/>
                  </w14:solidFill>
                </w14:textFill>
              </w:rPr>
            </w:pPr>
            <w:r>
              <w:rPr>
                <w:rFonts w:hint="eastAsia" w:ascii="Calibri" w:eastAsia="宋体"/>
                <w:color w:val="000000" w:themeColor="text1"/>
                <w:lang w:val="en-US" w:eastAsia="zh-CN"/>
                <w14:textFill>
                  <w14:solidFill>
                    <w14:schemeClr w14:val="tx1"/>
                  </w14:solidFill>
                </w14:textFill>
              </w:rPr>
              <w:t>0</w:t>
            </w:r>
          </w:p>
        </w:tc>
        <w:tc>
          <w:tcPr>
            <w:tcW w:w="64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rFonts w:hint="eastAsia" w:eastAsia="宋体"/>
                <w:color w:val="000000" w:themeColor="text1"/>
                <w:lang w:val="en-US" w:eastAsia="zh-CN"/>
                <w14:textFill>
                  <w14:solidFill>
                    <w14:schemeClr w14:val="tx1"/>
                  </w14:solidFill>
                </w14:textFill>
              </w:rPr>
            </w:pPr>
            <w:r>
              <w:rPr>
                <w:rFonts w:hint="eastAsia" w:ascii="Calibri" w:eastAsia="宋体"/>
                <w:color w:val="000000" w:themeColor="text1"/>
                <w:lang w:val="en-US" w:eastAsia="zh-CN"/>
                <w14:textFill>
                  <w14:solidFill>
                    <w14:schemeClr w14:val="tx1"/>
                  </w14:solidFill>
                </w14:textFill>
              </w:rPr>
              <w:t>0</w:t>
            </w:r>
          </w:p>
        </w:tc>
        <w:tc>
          <w:tcPr>
            <w:tcW w:w="64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rFonts w:hint="eastAsia" w:eastAsia="宋体"/>
                <w:color w:val="000000" w:themeColor="text1"/>
                <w:lang w:val="en-US" w:eastAsia="zh-CN"/>
                <w14:textFill>
                  <w14:solidFill>
                    <w14:schemeClr w14:val="tx1"/>
                  </w14:solidFill>
                </w14:textFill>
              </w:rPr>
            </w:pPr>
            <w:r>
              <w:rPr>
                <w:rFonts w:hint="eastAsia" w:ascii="Calibri" w:eastAsia="宋体"/>
                <w:color w:val="000000" w:themeColor="text1"/>
                <w:lang w:val="en-US" w:eastAsia="zh-CN"/>
                <w14:textFill>
                  <w14:solidFill>
                    <w14:schemeClr w14:val="tx1"/>
                  </w14:solidFill>
                </w14:textFill>
              </w:rPr>
              <w:t>0</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rFonts w:hint="eastAsia" w:eastAsia="宋体"/>
                <w:color w:val="000000" w:themeColor="text1"/>
                <w:lang w:val="en-US" w:eastAsia="zh-CN"/>
                <w14:textFill>
                  <w14:solidFill>
                    <w14:schemeClr w14:val="tx1"/>
                  </w14:solidFill>
                </w14:textFill>
              </w:rPr>
            </w:pPr>
            <w:r>
              <w:rPr>
                <w:rFonts w:hint="eastAsia" w:ascii="Calibri" w:eastAsia="宋体"/>
                <w:color w:val="000000" w:themeColor="text1"/>
                <w:lang w:val="en-US" w:eastAsia="zh-CN"/>
                <w14:textFill>
                  <w14:solidFill>
                    <w14:schemeClr w14:val="tx1"/>
                  </w14:solidFill>
                </w14:textFill>
              </w:rPr>
              <w:t>0</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rFonts w:hint="eastAsia" w:eastAsia="宋体"/>
                <w:color w:val="000000" w:themeColor="text1"/>
                <w:lang w:val="en-US" w:eastAsia="zh-CN"/>
                <w14:textFill>
                  <w14:solidFill>
                    <w14:schemeClr w14:val="tx1"/>
                  </w14:solidFill>
                </w14:textFill>
              </w:rPr>
            </w:pPr>
            <w:r>
              <w:rPr>
                <w:rFonts w:hint="eastAsia" w:ascii="Calibri" w:eastAsia="宋体"/>
                <w:color w:val="000000" w:themeColor="text1"/>
                <w:lang w:val="en-US" w:eastAsia="zh-CN"/>
                <w14:textFill>
                  <w14:solidFill>
                    <w14:schemeClr w14:val="tx1"/>
                  </w14:solidFill>
                </w14:textFill>
              </w:rPr>
              <w:t>0</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rFonts w:hint="eastAsia" w:eastAsia="宋体"/>
                <w:color w:val="000000" w:themeColor="text1"/>
                <w:lang w:val="en-US" w:eastAsia="zh-CN"/>
                <w14:textFill>
                  <w14:solidFill>
                    <w14:schemeClr w14:val="tx1"/>
                  </w14:solidFill>
                </w14:textFill>
              </w:rPr>
            </w:pPr>
            <w:r>
              <w:rPr>
                <w:rFonts w:hint="eastAsia" w:ascii="Calibri" w:eastAsia="宋体"/>
                <w:color w:val="000000" w:themeColor="text1"/>
                <w:lang w:val="en-US" w:eastAsia="zh-CN"/>
                <w14:textFill>
                  <w14:solidFill>
                    <w14:schemeClr w14:val="tx1"/>
                  </w14:solidFill>
                </w14:textFill>
              </w:rPr>
              <w:t>0</w:t>
            </w:r>
          </w:p>
        </w:tc>
        <w:tc>
          <w:tcPr>
            <w:tcW w:w="6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rFonts w:hint="eastAsia" w:eastAsia="宋体"/>
                <w:color w:val="000000" w:themeColor="text1"/>
                <w:lang w:val="en-US" w:eastAsia="zh-CN"/>
                <w14:textFill>
                  <w14:solidFill>
                    <w14:schemeClr w14:val="tx1"/>
                  </w14:solidFill>
                </w14:textFill>
              </w:rPr>
            </w:pPr>
            <w:r>
              <w:rPr>
                <w:rFonts w:hint="eastAsia" w:ascii="Calibri" w:eastAsia="宋体"/>
                <w:color w:val="000000" w:themeColor="text1"/>
                <w:lang w:val="en-US" w:eastAsia="zh-CN"/>
                <w14:textFill>
                  <w14:solidFill>
                    <w14:schemeClr w14:val="tx1"/>
                  </w14:solidFill>
                </w14:textFill>
              </w:rPr>
              <w:t>0</w:t>
            </w:r>
          </w:p>
        </w:tc>
        <w:tc>
          <w:tcPr>
            <w:tcW w:w="6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rFonts w:hint="eastAsia" w:eastAsia="宋体"/>
                <w:color w:val="000000" w:themeColor="text1"/>
                <w:lang w:val="en-US" w:eastAsia="zh-CN"/>
                <w14:textFill>
                  <w14:solidFill>
                    <w14:schemeClr w14:val="tx1"/>
                  </w14:solidFill>
                </w14:textFill>
              </w:rPr>
            </w:pPr>
            <w:r>
              <w:rPr>
                <w:rFonts w:hint="eastAsia" w:ascii="Calibri" w:eastAsia="宋体"/>
                <w:color w:val="000000" w:themeColor="text1"/>
                <w:lang w:val="en-US" w:eastAsia="zh-CN"/>
                <w14:textFill>
                  <w14:solidFill>
                    <w14:schemeClr w14:val="tx1"/>
                  </w14:solidFill>
                </w14:textFill>
              </w:rPr>
              <w:t>0</w:t>
            </w:r>
          </w:p>
        </w:tc>
        <w:tc>
          <w:tcPr>
            <w:tcW w:w="6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rFonts w:hint="eastAsia" w:eastAsia="宋体"/>
                <w:color w:val="000000" w:themeColor="text1"/>
                <w:lang w:val="en-US" w:eastAsia="zh-CN"/>
                <w14:textFill>
                  <w14:solidFill>
                    <w14:schemeClr w14:val="tx1"/>
                  </w14:solidFill>
                </w14:textFill>
              </w:rPr>
            </w:pPr>
            <w:r>
              <w:rPr>
                <w:rFonts w:hint="eastAsia" w:ascii="Calibri" w:eastAsia="宋体"/>
                <w:color w:val="000000" w:themeColor="text1"/>
                <w:lang w:val="en-US" w:eastAsia="zh-CN"/>
                <w14:textFill>
                  <w14:solidFill>
                    <w14:schemeClr w14:val="tx1"/>
                  </w14:solidFill>
                </w14:textFill>
              </w:rPr>
              <w:t>0</w:t>
            </w:r>
          </w:p>
        </w:tc>
        <w:tc>
          <w:tcPr>
            <w:tcW w:w="6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rFonts w:hint="default" w:ascii="黑体" w:hAnsi="宋体" w:eastAsia="黑体" w:cs="黑体"/>
                <w:color w:val="000000" w:themeColor="text1"/>
                <w:kern w:val="0"/>
                <w:sz w:val="20"/>
                <w:szCs w:val="20"/>
                <w:lang w:val="en-US" w:eastAsia="zh-CN" w:bidi="ar"/>
                <w14:textFill>
                  <w14:solidFill>
                    <w14:schemeClr w14:val="tx1"/>
                  </w14:solidFill>
                </w14:textFill>
              </w:rPr>
            </w:pPr>
            <w:r>
              <w:rPr>
                <w:rFonts w:hint="eastAsia" w:ascii="黑体" w:hAnsi="宋体" w:eastAsia="黑体" w:cs="黑体"/>
                <w:color w:val="000000" w:themeColor="text1"/>
                <w:kern w:val="0"/>
                <w:sz w:val="20"/>
                <w:szCs w:val="20"/>
                <w:lang w:val="en-US" w:eastAsia="zh-CN" w:bidi="ar"/>
                <w14:textFill>
                  <w14:solidFill>
                    <w14:schemeClr w14:val="tx1"/>
                  </w14:solidFill>
                </w14:textFill>
              </w:rPr>
              <w:t>0</w:t>
            </w:r>
          </w:p>
        </w:tc>
        <w:tc>
          <w:tcPr>
            <w:tcW w:w="6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ind w:left="0" w:right="0" w:firstLine="0"/>
              <w:jc w:val="center"/>
              <w:rPr>
                <w:rFonts w:hint="default" w:ascii="黑体" w:hAnsi="宋体" w:eastAsia="黑体" w:cs="黑体"/>
                <w:color w:val="000000" w:themeColor="text1"/>
                <w:kern w:val="0"/>
                <w:sz w:val="20"/>
                <w:szCs w:val="20"/>
                <w:lang w:val="en-US" w:eastAsia="zh-CN" w:bidi="ar"/>
                <w14:textFill>
                  <w14:solidFill>
                    <w14:schemeClr w14:val="tx1"/>
                  </w14:solidFill>
                </w14:textFill>
              </w:rPr>
            </w:pPr>
            <w:r>
              <w:rPr>
                <w:rFonts w:hint="eastAsia" w:ascii="黑体" w:hAnsi="宋体" w:eastAsia="黑体" w:cs="黑体"/>
                <w:color w:val="000000" w:themeColor="text1"/>
                <w:kern w:val="0"/>
                <w:sz w:val="20"/>
                <w:szCs w:val="20"/>
                <w:lang w:val="en-US" w:eastAsia="zh-CN" w:bidi="ar"/>
                <w14:textFill>
                  <w14:solidFill>
                    <w14:schemeClr w14:val="tx1"/>
                  </w14:solidFill>
                </w14:textFill>
              </w:rPr>
              <w:t>0</w:t>
            </w:r>
          </w:p>
        </w:tc>
      </w:tr>
    </w:tbl>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firstLine="640" w:firstLineChars="200"/>
        <w:jc w:val="both"/>
        <w:textAlignment w:val="auto"/>
        <w:rPr>
          <w:rStyle w:val="12"/>
          <w:b w:val="0"/>
          <w:bCs w:val="0"/>
          <w:i w:val="0"/>
          <w:iCs w:val="0"/>
          <w:color w:val="000000" w:themeColor="text1"/>
          <w:sz w:val="32"/>
          <w:szCs w:val="32"/>
          <w:lang w:val="en-US" w:eastAsia="zh-CN" w:bidi="ar"/>
          <w14:textFill>
            <w14:solidFill>
              <w14:schemeClr w14:val="tx1"/>
            </w14:solidFill>
          </w14:textFill>
        </w:rPr>
      </w:pPr>
      <w:r>
        <w:rPr>
          <w:rStyle w:val="12"/>
          <w:rFonts w:hint="eastAsia"/>
          <w:b w:val="0"/>
          <w:bCs w:val="0"/>
          <w:i w:val="0"/>
          <w:iCs w:val="0"/>
          <w:color w:val="000000" w:themeColor="text1"/>
          <w:sz w:val="32"/>
          <w:szCs w:val="32"/>
          <w:lang w:val="en-US" w:eastAsia="zh-CN" w:bidi="ar"/>
          <w14:textFill>
            <w14:solidFill>
              <w14:schemeClr w14:val="tx1"/>
            </w14:solidFill>
          </w14:textFill>
        </w:rPr>
        <w:t>五、</w:t>
      </w:r>
      <w:r>
        <w:rPr>
          <w:rStyle w:val="12"/>
          <w:b w:val="0"/>
          <w:bCs w:val="0"/>
          <w:i w:val="0"/>
          <w:iCs w:val="0"/>
          <w:color w:val="000000" w:themeColor="text1"/>
          <w:sz w:val="32"/>
          <w:szCs w:val="32"/>
          <w:lang w:val="en-US" w:eastAsia="zh-CN" w:bidi="ar"/>
          <w14:textFill>
            <w14:solidFill>
              <w14:schemeClr w14:val="tx1"/>
            </w14:solidFill>
          </w14:textFill>
        </w:rPr>
        <w:t>存在的主要问题及改进情况</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1"/>
          <w:b w:val="0"/>
          <w:bCs w:val="0"/>
          <w:color w:val="000000" w:themeColor="text1"/>
          <w:lang w:bidi="ar"/>
          <w14:textFill>
            <w14:solidFill>
              <w14:schemeClr w14:val="tx1"/>
            </w14:solidFill>
          </w14:textFill>
        </w:rPr>
      </w:pPr>
      <w:r>
        <w:rPr>
          <w:rFonts w:hint="eastAsia" w:ascii="楷体_GB2312" w:eastAsia="楷体_GB2312"/>
          <w:snapToGrid w:val="0"/>
          <w:color w:val="000000" w:themeColor="text1"/>
          <w:kern w:val="0"/>
          <w:sz w:val="32"/>
          <w:szCs w:val="32"/>
          <w14:textFill>
            <w14:solidFill>
              <w14:schemeClr w14:val="tx1"/>
            </w14:solidFill>
          </w14:textFill>
        </w:rPr>
        <w:t>（一）</w:t>
      </w:r>
      <w:r>
        <w:rPr>
          <w:rFonts w:hint="eastAsia" w:ascii="楷体_GB2312" w:eastAsia="楷体_GB2312"/>
          <w:snapToGrid w:val="0"/>
          <w:color w:val="000000" w:themeColor="text1"/>
          <w:kern w:val="0"/>
          <w:sz w:val="32"/>
          <w:szCs w:val="32"/>
          <w:lang w:eastAsia="zh-CN"/>
          <w14:textFill>
            <w14:solidFill>
              <w14:schemeClr w14:val="tx1"/>
            </w14:solidFill>
          </w14:textFill>
        </w:rPr>
        <w:t>存在的</w:t>
      </w:r>
      <w:r>
        <w:rPr>
          <w:rFonts w:hint="eastAsia" w:ascii="楷体_GB2312" w:eastAsia="楷体_GB2312"/>
          <w:snapToGrid w:val="0"/>
          <w:color w:val="000000" w:themeColor="text1"/>
          <w:kern w:val="0"/>
          <w:sz w:val="32"/>
          <w:szCs w:val="32"/>
          <w14:textFill>
            <w14:solidFill>
              <w14:schemeClr w14:val="tx1"/>
            </w14:solidFill>
          </w14:textFill>
        </w:rPr>
        <w:t>问题。</w:t>
      </w:r>
      <w:r>
        <w:rPr>
          <w:rStyle w:val="11"/>
          <w:color w:val="000000" w:themeColor="text1"/>
          <w:lang w:bidi="ar"/>
          <w14:textFill>
            <w14:solidFill>
              <w14:schemeClr w14:val="tx1"/>
            </w14:solidFill>
          </w14:textFill>
        </w:rPr>
        <w:t>2023年，息烽县税务局不断完善各项制度规定，把好信息发布审批关，及时公开政务信息，扎实有效</w:t>
      </w:r>
      <w:r>
        <w:rPr>
          <w:rStyle w:val="11"/>
          <w:b w:val="0"/>
          <w:bCs w:val="0"/>
          <w:color w:val="000000" w:themeColor="text1"/>
          <w:lang w:bidi="ar"/>
          <w14:textFill>
            <w14:solidFill>
              <w14:schemeClr w14:val="tx1"/>
            </w14:solidFill>
          </w14:textFill>
        </w:rPr>
        <w:t>推进政府信息公开工作，但仍存在一些问题和不足。主要表现在：</w:t>
      </w:r>
      <w:r>
        <w:rPr>
          <w:rFonts w:hint="eastAsia" w:ascii="仿宋_GB2312" w:eastAsia="仿宋_GB2312"/>
          <w:b w:val="0"/>
          <w:bCs w:val="0"/>
          <w:snapToGrid w:val="0"/>
          <w:color w:val="000000" w:themeColor="text1"/>
          <w:kern w:val="0"/>
          <w:sz w:val="32"/>
          <w:szCs w:val="32"/>
          <w14:textFill>
            <w14:solidFill>
              <w14:schemeClr w14:val="tx1"/>
            </w14:solidFill>
          </w14:textFill>
        </w:rPr>
        <w:t>一是</w:t>
      </w:r>
      <w:r>
        <w:rPr>
          <w:rStyle w:val="11"/>
          <w:b w:val="0"/>
          <w:bCs w:val="0"/>
          <w:color w:val="000000" w:themeColor="text1"/>
          <w:lang w:bidi="ar"/>
          <w14:textFill>
            <w14:solidFill>
              <w14:schemeClr w14:val="tx1"/>
            </w14:solidFill>
          </w14:textFill>
        </w:rPr>
        <w:t>公开渠道和途径有待进一步拓宽；</w:t>
      </w:r>
      <w:r>
        <w:rPr>
          <w:rFonts w:hint="eastAsia" w:ascii="仿宋_GB2312" w:eastAsia="仿宋_GB2312"/>
          <w:b w:val="0"/>
          <w:bCs w:val="0"/>
          <w:snapToGrid w:val="0"/>
          <w:color w:val="000000" w:themeColor="text1"/>
          <w:kern w:val="0"/>
          <w:sz w:val="32"/>
          <w:szCs w:val="32"/>
          <w14:textFill>
            <w14:solidFill>
              <w14:schemeClr w14:val="tx1"/>
            </w14:solidFill>
          </w14:textFill>
        </w:rPr>
        <w:t>二是</w:t>
      </w:r>
      <w:r>
        <w:rPr>
          <w:rStyle w:val="11"/>
          <w:b w:val="0"/>
          <w:bCs w:val="0"/>
          <w:color w:val="000000" w:themeColor="text1"/>
          <w:lang w:bidi="ar"/>
          <w14:textFill>
            <w14:solidFill>
              <w14:schemeClr w14:val="tx1"/>
            </w14:solidFill>
          </w14:textFill>
        </w:rPr>
        <w:t>公开主动意识不够。</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1"/>
          <w:bCs w:val="0"/>
          <w:color w:val="000000" w:themeColor="text1"/>
          <w:lang w:bidi="ar"/>
          <w14:textFill>
            <w14:solidFill>
              <w14:schemeClr w14:val="tx1"/>
            </w14:solidFill>
          </w14:textFill>
        </w:rPr>
      </w:pPr>
      <w:r>
        <w:rPr>
          <w:rFonts w:hint="eastAsia" w:ascii="楷体_GB2312" w:eastAsia="楷体_GB2312"/>
          <w:b w:val="0"/>
          <w:bCs w:val="0"/>
          <w:snapToGrid w:val="0"/>
          <w:color w:val="000000" w:themeColor="text1"/>
          <w:kern w:val="0"/>
          <w:sz w:val="32"/>
          <w:szCs w:val="32"/>
          <w14:textFill>
            <w14:solidFill>
              <w14:schemeClr w14:val="tx1"/>
            </w14:solidFill>
          </w14:textFill>
        </w:rPr>
        <w:t>（二）改进措施。</w:t>
      </w:r>
      <w:r>
        <w:rPr>
          <w:rFonts w:hint="eastAsia" w:ascii="仿宋_GB2312" w:eastAsia="仿宋_GB2312" w:cs="Times New Roman"/>
          <w:b w:val="0"/>
          <w:bCs w:val="0"/>
          <w:snapToGrid w:val="0"/>
          <w:color w:val="000000" w:themeColor="text1"/>
          <w:kern w:val="0"/>
          <w:sz w:val="32"/>
          <w:szCs w:val="32"/>
          <w14:textFill>
            <w14:solidFill>
              <w14:schemeClr w14:val="tx1"/>
            </w14:solidFill>
          </w14:textFill>
        </w:rPr>
        <w:t>一是</w:t>
      </w:r>
      <w:r>
        <w:rPr>
          <w:rStyle w:val="11"/>
          <w:b w:val="0"/>
          <w:bCs w:val="0"/>
          <w:color w:val="000000" w:themeColor="text1"/>
          <w:lang w:bidi="ar"/>
          <w14:textFill>
            <w14:solidFill>
              <w14:schemeClr w14:val="tx1"/>
            </w14:solidFill>
          </w14:textFill>
        </w:rPr>
        <w:t>多渠道强化公开效果，结合税企互动平台开展线上直播，解读税收政策，提升纳税人缴费人对公开内容的知晓度，强化政策理解；</w:t>
      </w:r>
      <w:r>
        <w:rPr>
          <w:rFonts w:hint="eastAsia" w:ascii="仿宋_GB2312" w:eastAsia="仿宋_GB2312"/>
          <w:b w:val="0"/>
          <w:bCs w:val="0"/>
          <w:snapToGrid w:val="0"/>
          <w:color w:val="000000" w:themeColor="text1"/>
          <w:kern w:val="0"/>
          <w:sz w:val="32"/>
          <w:szCs w:val="32"/>
          <w:lang w:eastAsia="zh-CN"/>
          <w14:textFill>
            <w14:solidFill>
              <w14:schemeClr w14:val="tx1"/>
            </w14:solidFill>
          </w14:textFill>
        </w:rPr>
        <w:t>二</w:t>
      </w:r>
      <w:r>
        <w:rPr>
          <w:rFonts w:hint="eastAsia" w:ascii="仿宋_GB2312" w:eastAsia="仿宋_GB2312"/>
          <w:b w:val="0"/>
          <w:bCs w:val="0"/>
          <w:snapToGrid w:val="0"/>
          <w:color w:val="000000" w:themeColor="text1"/>
          <w:kern w:val="0"/>
          <w:sz w:val="32"/>
          <w:szCs w:val="32"/>
          <w14:textFill>
            <w14:solidFill>
              <w14:schemeClr w14:val="tx1"/>
            </w14:solidFill>
          </w14:textFill>
        </w:rPr>
        <w:t>是</w:t>
      </w:r>
      <w:r>
        <w:rPr>
          <w:rStyle w:val="11"/>
          <w:b w:val="0"/>
          <w:bCs w:val="0"/>
          <w:color w:val="000000" w:themeColor="text1"/>
          <w:lang w:bidi="ar"/>
          <w14:textFill>
            <w14:solidFill>
              <w14:schemeClr w14:val="tx1"/>
            </w14:solidFill>
          </w14:textFill>
        </w:rPr>
        <w:t>积极履行政府信息公开职责，精选干部组建政务公开联络员队伍，组织政务公开培训，熟练掌握政务公开工作流程，提高干部队伍的专业性；</w:t>
      </w:r>
      <w:r>
        <w:rPr>
          <w:rFonts w:hint="eastAsia" w:ascii="仿宋_GB2312" w:eastAsia="仿宋_GB2312"/>
          <w:b w:val="0"/>
          <w:bCs w:val="0"/>
          <w:snapToGrid w:val="0"/>
          <w:color w:val="000000" w:themeColor="text1"/>
          <w:kern w:val="0"/>
          <w:sz w:val="32"/>
          <w:szCs w:val="32"/>
          <w:lang w:eastAsia="zh-CN"/>
          <w14:textFill>
            <w14:solidFill>
              <w14:schemeClr w14:val="tx1"/>
            </w14:solidFill>
          </w14:textFill>
        </w:rPr>
        <w:t>三是</w:t>
      </w:r>
      <w:r>
        <w:rPr>
          <w:rStyle w:val="11"/>
          <w:b w:val="0"/>
          <w:bCs w:val="0"/>
          <w:color w:val="000000" w:themeColor="text1"/>
          <w:lang w:bidi="ar"/>
          <w14:textFill>
            <w14:solidFill>
              <w14:schemeClr w14:val="tx1"/>
            </w14:solidFill>
          </w14:textFill>
        </w:rPr>
        <w:t>强化政务公开监督检查。政务公开监督员定期对网站信息发布内容准确性、公开时间的时效性、公开流程等进行检查，对存在的问题及</w:t>
      </w:r>
      <w:r>
        <w:rPr>
          <w:rStyle w:val="11"/>
          <w:bCs w:val="0"/>
          <w:color w:val="000000" w:themeColor="text1"/>
          <w:lang w:bidi="ar"/>
          <w14:textFill>
            <w14:solidFill>
              <w14:schemeClr w14:val="tx1"/>
            </w14:solidFill>
          </w14:textFill>
        </w:rPr>
        <w:t>时反馈，督促整改，推动政府信息工作更加规范化、标准化。</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Style w:val="12"/>
          <w:rFonts w:hint="eastAsia"/>
          <w:b w:val="0"/>
          <w:bCs w:val="0"/>
          <w:i w:val="0"/>
          <w:iCs w:val="0"/>
          <w:color w:val="000000" w:themeColor="text1"/>
          <w:sz w:val="32"/>
          <w:szCs w:val="32"/>
          <w:lang w:val="en-US" w:eastAsia="zh-CN" w:bidi="ar"/>
          <w14:textFill>
            <w14:solidFill>
              <w14:schemeClr w14:val="tx1"/>
            </w14:solidFill>
          </w14:textFill>
        </w:rPr>
      </w:pPr>
      <w:r>
        <w:rPr>
          <w:rStyle w:val="12"/>
          <w:rFonts w:hint="eastAsia"/>
          <w:b w:val="0"/>
          <w:bCs w:val="0"/>
          <w:i w:val="0"/>
          <w:iCs w:val="0"/>
          <w:color w:val="000000" w:themeColor="text1"/>
          <w:sz w:val="32"/>
          <w:szCs w:val="32"/>
          <w:lang w:val="en-US" w:eastAsia="zh-CN" w:bidi="ar"/>
          <w14:textFill>
            <w14:solidFill>
              <w14:schemeClr w14:val="tx1"/>
            </w14:solidFill>
          </w14:textFill>
        </w:rPr>
        <w:t>六、其他需要报告的事项</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Style w:val="11"/>
          <w:rFonts w:hint="eastAsia"/>
          <w:color w:val="000000" w:themeColor="text1"/>
          <w:lang w:bidi="ar"/>
          <w14:textFill>
            <w14:solidFill>
              <w14:schemeClr w14:val="tx1"/>
            </w14:solidFill>
          </w14:textFill>
        </w:rPr>
      </w:pPr>
      <w:r>
        <w:rPr>
          <w:rStyle w:val="11"/>
          <w:rFonts w:hint="eastAsia"/>
          <w:color w:val="000000" w:themeColor="text1"/>
          <w:lang w:bidi="ar"/>
          <w14:textFill>
            <w14:solidFill>
              <w14:schemeClr w14:val="tx1"/>
            </w14:solidFill>
          </w14:textFill>
        </w:rPr>
        <w:t>由于未收到政府信息公开申请，本年度我单位未收取政府信息公开申请办理费用。</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Style w:val="11"/>
          <w:rFonts w:hint="eastAsia"/>
          <w:color w:val="000000" w:themeColor="text1"/>
          <w:lang w:bidi="ar"/>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600" w:lineRule="exact"/>
        <w:ind w:firstLine="0" w:firstLineChars="0"/>
        <w:jc w:val="left"/>
        <w:textAlignment w:val="auto"/>
        <w:rPr>
          <w:rStyle w:val="11"/>
          <w:rFonts w:hint="eastAsia"/>
          <w:color w:val="000000" w:themeColor="text1"/>
          <w:lang w:val="en-US" w:eastAsia="zh-CN" w:bidi="ar"/>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600" w:lineRule="exact"/>
        <w:ind w:firstLine="4800" w:firstLineChars="1500"/>
        <w:jc w:val="left"/>
        <w:textAlignment w:val="auto"/>
        <w:rPr>
          <w:rStyle w:val="11"/>
          <w:rFonts w:hint="eastAsia"/>
          <w:color w:val="000000" w:themeColor="text1"/>
          <w:lang w:val="en-US" w:eastAsia="zh-CN" w:bidi="ar"/>
          <w14:textFill>
            <w14:solidFill>
              <w14:schemeClr w14:val="tx1"/>
            </w14:solidFill>
          </w14:textFill>
        </w:rPr>
      </w:pPr>
      <w:r>
        <w:rPr>
          <w:rStyle w:val="11"/>
          <w:rFonts w:hint="eastAsia"/>
          <w:color w:val="000000" w:themeColor="text1"/>
          <w:lang w:val="en-US" w:eastAsia="zh-CN" w:bidi="ar"/>
          <w14:textFill>
            <w14:solidFill>
              <w14:schemeClr w14:val="tx1"/>
            </w14:solidFill>
          </w14:textFill>
        </w:rPr>
        <w:t>国家税务总局</w:t>
      </w:r>
      <w:r>
        <w:rPr>
          <w:rStyle w:val="11"/>
          <w:rFonts w:hint="eastAsia" w:eastAsia="仿宋_GB2312"/>
          <w:color w:val="000000" w:themeColor="text1"/>
          <w:lang w:val="en-US" w:eastAsia="zh-CN" w:bidi="ar"/>
          <w14:textFill>
            <w14:solidFill>
              <w14:schemeClr w14:val="tx1"/>
            </w14:solidFill>
          </w14:textFill>
        </w:rPr>
        <w:t>息烽县税务</w:t>
      </w:r>
      <w:r>
        <w:rPr>
          <w:rStyle w:val="11"/>
          <w:rFonts w:hint="eastAsia"/>
          <w:color w:val="000000" w:themeColor="text1"/>
          <w:lang w:val="en-US" w:eastAsia="zh-CN" w:bidi="ar"/>
          <w14:textFill>
            <w14:solidFill>
              <w14:schemeClr w14:val="tx1"/>
            </w14:solidFill>
          </w14:textFill>
        </w:rPr>
        <w:t>局</w:t>
      </w:r>
    </w:p>
    <w:p>
      <w:pPr>
        <w:keepNext w:val="0"/>
        <w:keepLines w:val="0"/>
        <w:pageBreakBefore w:val="0"/>
        <w:widowControl w:val="0"/>
        <w:kinsoku/>
        <w:wordWrap w:val="0"/>
        <w:overflowPunct w:val="0"/>
        <w:topLinePunct w:val="0"/>
        <w:autoSpaceDE/>
        <w:autoSpaceDN/>
        <w:bidi w:val="0"/>
        <w:adjustRightInd/>
        <w:snapToGrid/>
        <w:spacing w:line="600" w:lineRule="exact"/>
        <w:jc w:val="right"/>
        <w:textAlignment w:val="auto"/>
        <w:rPr>
          <w:rFonts w:hint="default"/>
          <w:color w:val="000000" w:themeColor="text1"/>
          <w:lang w:val="en-US"/>
          <w14:textFill>
            <w14:solidFill>
              <w14:schemeClr w14:val="tx1"/>
            </w14:solidFill>
          </w14:textFill>
        </w:rPr>
      </w:pPr>
      <w:r>
        <w:rPr>
          <w:rStyle w:val="11"/>
          <w:rFonts w:hint="eastAsia"/>
          <w:color w:val="000000" w:themeColor="text1"/>
          <w:lang w:val="en-US" w:eastAsia="zh-CN" w:bidi="ar"/>
          <w14:textFill>
            <w14:solidFill>
              <w14:schemeClr w14:val="tx1"/>
            </w14:solidFill>
          </w14:textFill>
        </w:rPr>
        <w:t xml:space="preserve"> 2024年1月18日     </w:t>
      </w:r>
      <w:bookmarkStart w:id="0" w:name="_GoBack"/>
      <w:bookmarkEnd w:id="0"/>
    </w:p>
    <w:sectPr>
      <w:footerReference r:id="rId3" w:type="default"/>
      <w:pgSz w:w="11906" w:h="16838"/>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MTQ1OTk2OTQwYjE5Y2FmZjRjNjUxNmRlOWJiMzYifQ=="/>
  </w:docVars>
  <w:rsids>
    <w:rsidRoot w:val="03C8658F"/>
    <w:rsid w:val="03C8658F"/>
    <w:rsid w:val="0B752D7E"/>
    <w:rsid w:val="118D1A11"/>
    <w:rsid w:val="14E62D9A"/>
    <w:rsid w:val="17434A2F"/>
    <w:rsid w:val="1BC73AFA"/>
    <w:rsid w:val="1EF619E7"/>
    <w:rsid w:val="20BA3734"/>
    <w:rsid w:val="22F46740"/>
    <w:rsid w:val="37162629"/>
    <w:rsid w:val="386964F6"/>
    <w:rsid w:val="394C49F4"/>
    <w:rsid w:val="40D0465A"/>
    <w:rsid w:val="41D82534"/>
    <w:rsid w:val="42C10B70"/>
    <w:rsid w:val="46A31FFD"/>
    <w:rsid w:val="4F5D3BFA"/>
    <w:rsid w:val="5C425992"/>
    <w:rsid w:val="5F01376C"/>
    <w:rsid w:val="5FF33252"/>
    <w:rsid w:val="70506286"/>
    <w:rsid w:val="711634EF"/>
    <w:rsid w:val="72A92A00"/>
    <w:rsid w:val="7DDA5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overflowPunct w:val="0"/>
      <w:autoSpaceDE w:val="0"/>
      <w:autoSpaceDN w:val="0"/>
      <w:adjustRightInd w:val="0"/>
      <w:snapToGrid w:val="0"/>
      <w:spacing w:before="0" w:beforeAutospacing="0" w:after="0" w:afterAutospacing="0" w:line="560" w:lineRule="exact"/>
      <w:jc w:val="center"/>
      <w:outlineLvl w:val="0"/>
    </w:pPr>
    <w:rPr>
      <w:rFonts w:hint="eastAsia" w:ascii="宋体" w:hAnsi="宋体" w:eastAsia="方正小标宋简体" w:cs="宋体"/>
      <w:bCs/>
      <w:kern w:val="44"/>
      <w:sz w:val="44"/>
      <w:szCs w:val="48"/>
      <w:lang w:bidi="ar"/>
    </w:rPr>
  </w:style>
  <w:style w:type="paragraph" w:styleId="4">
    <w:name w:val="heading 2"/>
    <w:basedOn w:val="1"/>
    <w:next w:val="1"/>
    <w:autoRedefine/>
    <w:semiHidden/>
    <w:unhideWhenUsed/>
    <w:qFormat/>
    <w:uiPriority w:val="0"/>
    <w:pPr>
      <w:keepNext w:val="0"/>
      <w:keepLines w:val="0"/>
      <w:overflowPunct w:val="0"/>
      <w:autoSpaceDE w:val="0"/>
      <w:autoSpaceDN w:val="0"/>
      <w:adjustRightInd w:val="0"/>
      <w:snapToGrid w:val="0"/>
      <w:spacing w:beforeLines="0" w:beforeAutospacing="0" w:afterLines="0" w:afterAutospacing="0" w:line="560" w:lineRule="exact"/>
      <w:jc w:val="left"/>
      <w:outlineLvl w:val="1"/>
    </w:pPr>
    <w:rPr>
      <w:rFonts w:ascii="Arial" w:hAnsi="Arial" w:eastAsia="黑体" w:cs="Times New Roman"/>
      <w:snapToGrid w:val="0"/>
      <w:kern w:val="0"/>
      <w:sz w:val="32"/>
    </w:rPr>
  </w:style>
  <w:style w:type="paragraph" w:styleId="5">
    <w:name w:val="heading 3"/>
    <w:basedOn w:val="1"/>
    <w:next w:val="1"/>
    <w:autoRedefine/>
    <w:semiHidden/>
    <w:unhideWhenUsed/>
    <w:qFormat/>
    <w:uiPriority w:val="0"/>
    <w:pPr>
      <w:keepNext w:val="0"/>
      <w:keepLines w:val="0"/>
      <w:overflowPunct w:val="0"/>
      <w:autoSpaceDE w:val="0"/>
      <w:autoSpaceDN w:val="0"/>
      <w:adjustRightInd w:val="0"/>
      <w:snapToGrid w:val="0"/>
      <w:spacing w:beforeLines="0" w:beforeAutospacing="0" w:afterLines="0" w:afterAutospacing="0" w:line="560" w:lineRule="exact"/>
      <w:outlineLvl w:val="2"/>
    </w:pPr>
    <w:rPr>
      <w:rFonts w:ascii="Calibri" w:hAnsi="Calibri" w:eastAsia="楷体_GB2312" w:cs="Times New Roman"/>
      <w:kern w:val="2"/>
      <w:sz w:val="32"/>
    </w:rPr>
  </w:style>
  <w:style w:type="paragraph" w:styleId="6">
    <w:name w:val="heading 4"/>
    <w:basedOn w:val="1"/>
    <w:next w:val="1"/>
    <w:autoRedefine/>
    <w:semiHidden/>
    <w:unhideWhenUsed/>
    <w:qFormat/>
    <w:uiPriority w:val="0"/>
    <w:pPr>
      <w:keepNext w:val="0"/>
      <w:keepLines w:val="0"/>
      <w:overflowPunct w:val="0"/>
      <w:autoSpaceDE w:val="0"/>
      <w:autoSpaceDN w:val="0"/>
      <w:adjustRightInd w:val="0"/>
      <w:snapToGrid w:val="0"/>
      <w:spacing w:beforeLines="0" w:beforeAutospacing="0" w:afterLines="0" w:afterAutospacing="0" w:line="560" w:lineRule="exact"/>
      <w:outlineLvl w:val="3"/>
    </w:pPr>
    <w:rPr>
      <w:rFonts w:ascii="Arial" w:hAnsi="Arial" w:eastAsia="仿宋_GB2312"/>
      <w:b/>
      <w:snapToGrid w:val="0"/>
      <w:kern w:val="0"/>
      <w:sz w:val="32"/>
    </w:rPr>
  </w:style>
  <w:style w:type="character" w:default="1" w:styleId="10">
    <w:name w:val="Default Paragraph Font"/>
    <w:autoRedefine/>
    <w:semiHidden/>
    <w:qFormat/>
    <w:uiPriority w:val="0"/>
    <w:rPr>
      <w:rFonts w:ascii="Times New Roman" w:hAnsi="Times New Roman" w:eastAsia="仿宋_GB2312"/>
      <w:sz w:val="32"/>
    </w:rPr>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after="12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1">
    <w:name w:val="fontstyle11"/>
    <w:basedOn w:val="10"/>
    <w:autoRedefine/>
    <w:qFormat/>
    <w:uiPriority w:val="0"/>
    <w:rPr>
      <w:rFonts w:ascii="仿宋_GB2312" w:hAnsi="仿宋_GB2312" w:eastAsia="仿宋_GB2312" w:cs="仿宋_GB2312"/>
      <w:color w:val="333333"/>
      <w:sz w:val="32"/>
      <w:szCs w:val="32"/>
    </w:rPr>
  </w:style>
  <w:style w:type="character" w:customStyle="1" w:styleId="12">
    <w:name w:val="fontstyle31"/>
    <w:basedOn w:val="10"/>
    <w:autoRedefine/>
    <w:qFormat/>
    <w:uiPriority w:val="0"/>
    <w:rPr>
      <w:rFonts w:ascii="黑体" w:hAnsi="宋体" w:eastAsia="黑体" w:cs="黑体"/>
      <w:color w:val="333333"/>
      <w:sz w:val="32"/>
      <w:szCs w:val="32"/>
    </w:rPr>
  </w:style>
  <w:style w:type="character" w:customStyle="1" w:styleId="13">
    <w:name w:val="fontstyle41"/>
    <w:basedOn w:val="10"/>
    <w:autoRedefine/>
    <w:qFormat/>
    <w:uiPriority w:val="0"/>
    <w:rPr>
      <w:rFonts w:ascii="宋体" w:hAnsi="宋体" w:eastAsia="宋体" w:cs="宋体"/>
      <w:color w:val="333333"/>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2024-01-26T03:17:00Z</dcterms:created>
  <dc:creator>陈晨</dc:creator>
  <cp:lastModifiedBy> 情同</cp:lastModifiedBy>
  <dcterms:modified xsi:type="dcterms:W3CDTF">2024-01-30T09:59:09Z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83DF48FFFE014E5AAF00261081F0A2D2_13</vt:lpwstr>
  </property>
</Properties>
</file>