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4B" w:rsidRDefault="00F73B4B" w:rsidP="00F73B4B">
      <w:pPr>
        <w:jc w:val="center"/>
        <w:rPr>
          <w:rFonts w:ascii="黑体" w:eastAsia="黑体" w:hAnsi="黑体" w:cs="黑体"/>
          <w:sz w:val="44"/>
          <w:szCs w:val="44"/>
        </w:rPr>
      </w:pPr>
      <w:r>
        <w:rPr>
          <w:rFonts w:ascii="黑体" w:eastAsia="黑体" w:hAnsi="黑体" w:cs="黑体" w:hint="eastAsia"/>
          <w:sz w:val="44"/>
          <w:szCs w:val="44"/>
        </w:rPr>
        <w:t>国家税务总局贵阳市花溪区税务局</w:t>
      </w:r>
    </w:p>
    <w:p w:rsidR="00F73B4B" w:rsidRDefault="00F73B4B" w:rsidP="00F73B4B">
      <w:pPr>
        <w:jc w:val="center"/>
        <w:rPr>
          <w:rFonts w:ascii="黑体" w:eastAsia="黑体" w:hAnsi="黑体" w:cs="黑体"/>
          <w:sz w:val="44"/>
          <w:szCs w:val="44"/>
        </w:rPr>
      </w:pPr>
      <w:r>
        <w:rPr>
          <w:rFonts w:ascii="黑体" w:eastAsia="黑体" w:hAnsi="黑体" w:cs="黑体" w:hint="eastAsia"/>
          <w:sz w:val="44"/>
          <w:szCs w:val="44"/>
        </w:rPr>
        <w:t>2022年政府信息公开工作年度报告</w:t>
      </w:r>
    </w:p>
    <w:p w:rsidR="00F73B4B" w:rsidRDefault="00F73B4B" w:rsidP="00F73B4B">
      <w:pPr>
        <w:topLinePunct/>
        <w:spacing w:line="560" w:lineRule="exact"/>
        <w:ind w:firstLineChars="200" w:firstLine="640"/>
        <w:jc w:val="left"/>
        <w:rPr>
          <w:rFonts w:ascii="仿宋_GB2312" w:eastAsia="仿宋_GB2312"/>
          <w:spacing w:val="4"/>
          <w:sz w:val="32"/>
          <w:szCs w:val="32"/>
        </w:rPr>
      </w:pPr>
      <w:r>
        <w:rPr>
          <w:rFonts w:ascii="仿宋_GB2312" w:eastAsia="仿宋_GB2312" w:hint="eastAsia"/>
          <w:sz w:val="32"/>
          <w:szCs w:val="32"/>
        </w:rPr>
        <w:t>本报告按《中华人民共和国政府信息公开条例》要求编制。全文包括总体情况、主动公开政府信息情况、收到和处理政府信息公开申请情况、政府信息公开行政复议或行政诉讼情况，存在的主要问题及改进情况、其他需要报告的事项六个部分。报告中所列数据为国家税务总局贵阳市花溪区税务局2022年整年数据，统计期限自2022年1月1日起至2022年12月31日止。报告电子版可在国家税务总局贵州省税务局网站（https://guizhou.chinatax.gov.cn/）查阅。如有疑问请致电国家税务总局贵阳市花溪区税务局（联系地址：贵州省贵阳市花溪区明珠大道196号6号楼，邮编：550025，联系电话：0851-88231660）</w:t>
      </w:r>
      <w:r>
        <w:rPr>
          <w:rFonts w:ascii="仿宋_GB2312" w:eastAsia="仿宋_GB2312" w:hint="eastAsia"/>
          <w:color w:val="000000"/>
          <w:spacing w:val="4"/>
          <w:sz w:val="32"/>
          <w:szCs w:val="32"/>
        </w:rPr>
        <w:t>，竭诚欢迎您的关注支持和批评监督！</w:t>
      </w:r>
    </w:p>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F73B4B" w:rsidRDefault="00F73B4B" w:rsidP="00F73B4B">
      <w:pPr>
        <w:pStyle w:val="a3"/>
        <w:widowControl/>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年，花溪区税务局深入学习贯彻党的二十大精神，全面落实上级关于全面推进政府公开工作的决策部署和《中华人民共和国政府信息公开条例》，加强组织领导，加大公开力度，加快平台建设，着力推进政府信息公开工作进一步开展。</w:t>
      </w:r>
    </w:p>
    <w:p w:rsidR="00F73B4B" w:rsidRDefault="00F73B4B" w:rsidP="00F73B4B">
      <w:pPr>
        <w:pStyle w:val="a3"/>
        <w:widowControl/>
        <w:spacing w:before="0" w:beforeAutospacing="0" w:after="0" w:afterAutospacing="0"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（一）主动公开情况</w:t>
      </w:r>
    </w:p>
    <w:p w:rsidR="00F73B4B" w:rsidRDefault="00F73B4B" w:rsidP="00F73B4B">
      <w:pPr>
        <w:pStyle w:val="a3"/>
        <w:widowControl/>
        <w:spacing w:before="0" w:beforeAutospacing="0" w:after="0" w:afterAutospacing="0" w:line="560" w:lineRule="exac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花溪区税务局及时公开党委班子成员调整信息，积极公开各项工作动态共40条，公开国家税务总局、贵州省税务局发布的各项税收优惠政策等政策文件共15条，</w:t>
      </w:r>
      <w:r>
        <w:rPr>
          <w:rFonts w:ascii="仿宋_GB2312" w:eastAsia="仿宋_GB2312" w:hAnsi="仿宋_GB2312" w:cs="仿宋_GB2312" w:hint="eastAsia"/>
          <w:color w:val="333333"/>
          <w:sz w:val="32"/>
          <w:szCs w:val="32"/>
          <w:shd w:val="clear" w:color="auto" w:fill="FFFFFF"/>
        </w:rPr>
        <w:t>公开涉税</w:t>
      </w:r>
      <w:r>
        <w:rPr>
          <w:rFonts w:ascii="仿宋_GB2312" w:eastAsia="仿宋_GB2312" w:hAnsi="仿宋_GB2312" w:cs="仿宋_GB2312" w:hint="eastAsia"/>
          <w:color w:val="333333"/>
          <w:sz w:val="32"/>
          <w:szCs w:val="32"/>
          <w:shd w:val="clear" w:color="auto" w:fill="FFFFFF"/>
        </w:rPr>
        <w:lastRenderedPageBreak/>
        <w:t>专业服务机构名称及其信用情况、行政处罚事项、行政许可事项、非正常户公告、个体工商户定额公告、欠税公告及委托代征公告等7项内容，共计13193条。</w:t>
      </w:r>
    </w:p>
    <w:p w:rsidR="00F73B4B" w:rsidRDefault="00F73B4B" w:rsidP="00F73B4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（二）依申请公开</w:t>
      </w:r>
    </w:p>
    <w:p w:rsidR="00F73B4B" w:rsidRDefault="00F73B4B" w:rsidP="00F73B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2022年，花溪区税务局</w:t>
      </w:r>
      <w:r>
        <w:rPr>
          <w:rFonts w:ascii="仿宋_GB2312" w:eastAsia="仿宋_GB2312" w:hAnsi="仿宋_GB2312" w:cs="仿宋_GB2312" w:hint="eastAsia"/>
          <w:snapToGrid w:val="0"/>
          <w:kern w:val="0"/>
          <w:sz w:val="32"/>
          <w:szCs w:val="32"/>
        </w:rPr>
        <w:t>严格落实《税务机关政府信息公开申请办理规范》要求，按规定做好依申请公开相关工作，</w:t>
      </w:r>
      <w:r>
        <w:rPr>
          <w:rFonts w:ascii="仿宋_GB2312" w:eastAsia="仿宋_GB2312" w:hAnsi="仿宋_GB2312" w:cs="仿宋_GB2312" w:hint="eastAsia"/>
          <w:sz w:val="32"/>
          <w:szCs w:val="32"/>
        </w:rPr>
        <w:t>2022年度花溪区税务局未收到依申请公开申请。</w:t>
      </w:r>
    </w:p>
    <w:p w:rsidR="00F73B4B" w:rsidRDefault="00F73B4B" w:rsidP="00F73B4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（三）政府信息管理</w:t>
      </w:r>
    </w:p>
    <w:p w:rsidR="00F73B4B" w:rsidRDefault="00F73B4B" w:rsidP="00F73B4B">
      <w:pPr>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z w:val="32"/>
          <w:szCs w:val="32"/>
        </w:rPr>
        <w:t>2022年，依照贵州省税务局、贵阳市税务局以及花溪区人民政府政务公开工作相关规定,花溪区税务局严格把控政务信息公开</w:t>
      </w:r>
      <w:r>
        <w:rPr>
          <w:rFonts w:ascii="仿宋_GB2312" w:eastAsia="仿宋_GB2312" w:hAnsi="仿宋_GB2312" w:cs="仿宋_GB2312" w:hint="eastAsia"/>
          <w:snapToGrid w:val="0"/>
          <w:kern w:val="0"/>
          <w:sz w:val="32"/>
          <w:szCs w:val="32"/>
        </w:rPr>
        <w:t>发布流程。在花溪区人民政府网站进行信息公开，需先填写主动公开信息送审单及花溪区人民政府网站信息审核单，</w:t>
      </w:r>
      <w:proofErr w:type="gramStart"/>
      <w:r>
        <w:rPr>
          <w:rFonts w:ascii="仿宋_GB2312" w:eastAsia="仿宋_GB2312" w:hAnsi="仿宋_GB2312" w:cs="仿宋_GB2312" w:hint="eastAsia"/>
          <w:snapToGrid w:val="0"/>
          <w:kern w:val="0"/>
          <w:sz w:val="32"/>
          <w:szCs w:val="32"/>
        </w:rPr>
        <w:t>并经花溪</w:t>
      </w:r>
      <w:proofErr w:type="gramEnd"/>
      <w:r>
        <w:rPr>
          <w:rFonts w:ascii="仿宋_GB2312" w:eastAsia="仿宋_GB2312" w:hAnsi="仿宋_GB2312" w:cs="仿宋_GB2312" w:hint="eastAsia"/>
          <w:snapToGrid w:val="0"/>
          <w:kern w:val="0"/>
          <w:sz w:val="32"/>
          <w:szCs w:val="32"/>
        </w:rPr>
        <w:t>区税务局办公室和政务公开工作分管领导、花溪区税务局政务公开工作办理部门严格审核。</w:t>
      </w:r>
    </w:p>
    <w:p w:rsidR="00F73B4B" w:rsidRDefault="00F73B4B" w:rsidP="00F73B4B">
      <w:pPr>
        <w:pStyle w:val="a3"/>
        <w:widowControl/>
        <w:spacing w:before="0" w:beforeAutospacing="0" w:after="0" w:afterAutospacing="0" w:line="560" w:lineRule="exact"/>
        <w:ind w:firstLineChars="200" w:firstLine="640"/>
        <w:jc w:val="both"/>
        <w:rPr>
          <w:rFonts w:ascii="楷体" w:eastAsia="楷体" w:hAnsi="楷体" w:cs="楷体"/>
          <w:color w:val="000000"/>
          <w:sz w:val="32"/>
          <w:szCs w:val="32"/>
        </w:rPr>
      </w:pPr>
      <w:r>
        <w:rPr>
          <w:rFonts w:ascii="楷体" w:eastAsia="楷体" w:hAnsi="楷体" w:cs="楷体" w:hint="eastAsia"/>
          <w:color w:val="000000"/>
          <w:sz w:val="32"/>
          <w:szCs w:val="32"/>
        </w:rPr>
        <w:t>（四）平台建设</w:t>
      </w:r>
    </w:p>
    <w:p w:rsidR="00F73B4B" w:rsidRDefault="00F73B4B" w:rsidP="00F73B4B">
      <w:pPr>
        <w:pStyle w:val="a3"/>
        <w:widowControl/>
        <w:wordWrap w:val="0"/>
        <w:spacing w:before="76" w:beforeAutospacing="0" w:after="76" w:afterAutospacing="0"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花溪区税务局借助花溪区人民政府门户网站、贵州省</w:t>
      </w:r>
      <w:proofErr w:type="gramStart"/>
      <w:r>
        <w:rPr>
          <w:rFonts w:ascii="仿宋_GB2312" w:eastAsia="仿宋_GB2312" w:hAnsi="仿宋_GB2312" w:cs="仿宋_GB2312" w:hint="eastAsia"/>
          <w:color w:val="333333"/>
          <w:sz w:val="32"/>
          <w:szCs w:val="32"/>
          <w:shd w:val="clear" w:color="auto" w:fill="FFFFFF"/>
        </w:rPr>
        <w:t>税务局官网贵阳市</w:t>
      </w:r>
      <w:proofErr w:type="gramEnd"/>
      <w:r>
        <w:rPr>
          <w:rFonts w:ascii="仿宋_GB2312" w:eastAsia="仿宋_GB2312" w:hAnsi="仿宋_GB2312" w:cs="仿宋_GB2312" w:hint="eastAsia"/>
          <w:color w:val="333333"/>
          <w:sz w:val="32"/>
          <w:szCs w:val="32"/>
          <w:shd w:val="clear" w:color="auto" w:fill="FFFFFF"/>
        </w:rPr>
        <w:t>税务局频道等互联网</w:t>
      </w:r>
      <w:r w:rsidR="002112F6">
        <w:rPr>
          <w:rFonts w:ascii="仿宋_GB2312" w:eastAsia="仿宋_GB2312" w:hAnsi="仿宋_GB2312" w:cs="仿宋_GB2312" w:hint="eastAsia"/>
          <w:color w:val="333333"/>
          <w:sz w:val="32"/>
          <w:szCs w:val="32"/>
          <w:shd w:val="clear" w:color="auto" w:fill="FFFFFF"/>
        </w:rPr>
        <w:t>平台，积极发布和更新政府信息、丰富平台内容，在花溪区人民政府网站</w:t>
      </w:r>
      <w:r>
        <w:rPr>
          <w:rFonts w:ascii="仿宋_GB2312" w:eastAsia="仿宋_GB2312" w:hAnsi="仿宋_GB2312" w:cs="仿宋_GB2312" w:hint="eastAsia"/>
          <w:color w:val="333333"/>
          <w:sz w:val="32"/>
          <w:szCs w:val="32"/>
          <w:shd w:val="clear" w:color="auto" w:fill="FFFFFF"/>
        </w:rPr>
        <w:t>单独设置专项模块。同时，充分利用电子名片、纳税人工作群、税企互动平台等多项途径，积极做好政府信息公开工作。</w:t>
      </w:r>
    </w:p>
    <w:p w:rsidR="00F73B4B" w:rsidRDefault="00F73B4B" w:rsidP="00F73B4B">
      <w:pPr>
        <w:pStyle w:val="a3"/>
        <w:widowControl/>
        <w:wordWrap w:val="0"/>
        <w:spacing w:before="76" w:beforeAutospacing="0" w:after="76" w:afterAutospacing="0" w:line="560" w:lineRule="exact"/>
        <w:ind w:firstLineChars="200" w:firstLine="640"/>
        <w:jc w:val="both"/>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（五）监督保障</w:t>
      </w:r>
    </w:p>
    <w:p w:rsidR="00F73B4B" w:rsidRDefault="00F73B4B" w:rsidP="00F73B4B">
      <w:pPr>
        <w:ind w:left="105"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在花溪区人民政府门户网站、贵州省</w:t>
      </w:r>
      <w:proofErr w:type="gramStart"/>
      <w:r>
        <w:rPr>
          <w:rFonts w:ascii="仿宋_GB2312" w:eastAsia="仿宋_GB2312" w:hAnsi="仿宋_GB2312" w:cs="仿宋_GB2312" w:hint="eastAsia"/>
          <w:color w:val="333333"/>
          <w:sz w:val="32"/>
          <w:szCs w:val="32"/>
          <w:shd w:val="clear" w:color="auto" w:fill="FFFFFF"/>
        </w:rPr>
        <w:t>税务局官网贵阳市</w:t>
      </w:r>
      <w:proofErr w:type="gramEnd"/>
      <w:r>
        <w:rPr>
          <w:rFonts w:ascii="仿宋_GB2312" w:eastAsia="仿宋_GB2312" w:hAnsi="仿宋_GB2312" w:cs="仿宋_GB2312" w:hint="eastAsia"/>
          <w:color w:val="333333"/>
          <w:sz w:val="32"/>
          <w:szCs w:val="32"/>
          <w:shd w:val="clear" w:color="auto" w:fill="FFFFFF"/>
        </w:rPr>
        <w:t>税务局频道公开政府信息公开等热线电话号码，同时通过12366、12345等途径收集纳税人意见建议，建立和完善有</w:t>
      </w:r>
      <w:r>
        <w:rPr>
          <w:rFonts w:ascii="仿宋_GB2312" w:eastAsia="仿宋_GB2312" w:hAnsi="仿宋_GB2312" w:cs="仿宋_GB2312" w:hint="eastAsia"/>
          <w:color w:val="333333"/>
          <w:sz w:val="32"/>
          <w:szCs w:val="32"/>
          <w:shd w:val="clear" w:color="auto" w:fill="FFFFFF"/>
        </w:rPr>
        <w:lastRenderedPageBreak/>
        <w:t>效的监督机制。纳税人可通过以上途径申请相关信息公开以及反映与政府信息公开相关的问题。</w:t>
      </w:r>
    </w:p>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5000" w:type="pct"/>
        <w:jc w:val="center"/>
        <w:tblCellMar>
          <w:left w:w="0" w:type="dxa"/>
          <w:right w:w="0" w:type="dxa"/>
        </w:tblCellMar>
        <w:tblLook w:val="0000" w:firstRow="0" w:lastRow="0" w:firstColumn="0" w:lastColumn="0" w:noHBand="0" w:noVBand="0"/>
      </w:tblPr>
      <w:tblGrid>
        <w:gridCol w:w="2332"/>
        <w:gridCol w:w="2026"/>
        <w:gridCol w:w="2026"/>
        <w:gridCol w:w="2036"/>
      </w:tblGrid>
      <w:tr w:rsidR="00F73B4B" w:rsidTr="0095471A">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第二十条第（一）项</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信息内容</w:t>
            </w:r>
          </w:p>
        </w:tc>
        <w:tc>
          <w:tcPr>
            <w:tcW w:w="1203" w:type="pct"/>
            <w:tcBorders>
              <w:top w:val="single" w:sz="8" w:space="0" w:color="auto"/>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本年</w:t>
            </w:r>
            <w:r>
              <w:rPr>
                <w:rFonts w:ascii="宋体" w:hAnsi="宋体" w:cs="宋体" w:hint="eastAsia"/>
                <w:kern w:val="0"/>
                <w:sz w:val="20"/>
                <w:szCs w:val="20"/>
                <w:lang w:bidi="ar"/>
              </w:rPr>
              <w:t>制发件数</w:t>
            </w:r>
          </w:p>
        </w:tc>
        <w:tc>
          <w:tcPr>
            <w:tcW w:w="1203" w:type="pct"/>
            <w:tcBorders>
              <w:top w:val="single" w:sz="8" w:space="0" w:color="auto"/>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本年废止件数</w:t>
            </w:r>
          </w:p>
        </w:tc>
        <w:tc>
          <w:tcPr>
            <w:tcW w:w="1208" w:type="pct"/>
            <w:tcBorders>
              <w:top w:val="single" w:sz="8" w:space="0" w:color="auto"/>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规章</w:t>
            </w:r>
          </w:p>
        </w:tc>
        <w:tc>
          <w:tcPr>
            <w:tcW w:w="1203"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c>
          <w:tcPr>
            <w:tcW w:w="1203"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c>
          <w:tcPr>
            <w:tcW w:w="1208"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行政规范性文件</w:t>
            </w:r>
          </w:p>
        </w:tc>
        <w:tc>
          <w:tcPr>
            <w:tcW w:w="1203"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c>
          <w:tcPr>
            <w:tcW w:w="1203"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c>
          <w:tcPr>
            <w:tcW w:w="1208" w:type="pct"/>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r>
      <w:tr w:rsidR="00F73B4B" w:rsidTr="009547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第二十条第（五）项</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信息内容</w:t>
            </w:r>
          </w:p>
        </w:tc>
        <w:tc>
          <w:tcPr>
            <w:tcW w:w="3614" w:type="pct"/>
            <w:gridSpan w:val="3"/>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本年处理决定数量</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行政许可</w:t>
            </w:r>
          </w:p>
        </w:tc>
        <w:tc>
          <w:tcPr>
            <w:tcW w:w="3614" w:type="pct"/>
            <w:gridSpan w:val="3"/>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2123</w:t>
            </w:r>
          </w:p>
        </w:tc>
      </w:tr>
      <w:tr w:rsidR="00F73B4B" w:rsidTr="009547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第二十条第（六）项</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信息内容</w:t>
            </w:r>
          </w:p>
        </w:tc>
        <w:tc>
          <w:tcPr>
            <w:tcW w:w="3614" w:type="pct"/>
            <w:gridSpan w:val="3"/>
            <w:tcBorders>
              <w:top w:val="single" w:sz="8" w:space="0" w:color="auto"/>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本年处理决定数量</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行政处罚</w:t>
            </w:r>
          </w:p>
        </w:tc>
        <w:tc>
          <w:tcPr>
            <w:tcW w:w="3614" w:type="pct"/>
            <w:gridSpan w:val="3"/>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2423</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行政强制</w:t>
            </w:r>
          </w:p>
        </w:tc>
        <w:tc>
          <w:tcPr>
            <w:tcW w:w="3614" w:type="pct"/>
            <w:gridSpan w:val="3"/>
            <w:tcBorders>
              <w:top w:val="nil"/>
              <w:left w:val="nil"/>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hint="eastAsia"/>
              </w:rPr>
              <w:t>0</w:t>
            </w:r>
          </w:p>
        </w:tc>
      </w:tr>
      <w:tr w:rsidR="00F73B4B" w:rsidTr="0095471A">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第二十条第（八）项</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信息内容</w:t>
            </w:r>
          </w:p>
        </w:tc>
        <w:tc>
          <w:tcPr>
            <w:tcW w:w="3614" w:type="pct"/>
            <w:gridSpan w:val="3"/>
            <w:tcBorders>
              <w:top w:val="nil"/>
              <w:left w:val="nil"/>
              <w:bottom w:val="single" w:sz="8" w:space="0" w:color="auto"/>
              <w:right w:val="single" w:sz="8" w:space="0" w:color="000000"/>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本年收费金额（单位：万元）</w:t>
            </w:r>
          </w:p>
        </w:tc>
      </w:tr>
      <w:tr w:rsidR="00F73B4B" w:rsidTr="0095471A">
        <w:trPr>
          <w:trHeight w:val="340"/>
          <w:jc w:val="center"/>
        </w:trPr>
        <w:tc>
          <w:tcPr>
            <w:tcW w:w="1385" w:type="pct"/>
            <w:tcBorders>
              <w:top w:val="nil"/>
              <w:left w:val="single" w:sz="8" w:space="0" w:color="auto"/>
              <w:bottom w:val="single" w:sz="8" w:space="0" w:color="auto"/>
              <w:right w:val="single" w:sz="8" w:space="0" w:color="auto"/>
            </w:tcBorders>
            <w:tcMar>
              <w:left w:w="57" w:type="dxa"/>
              <w:right w:w="57" w:type="dxa"/>
            </w:tcMar>
            <w:vAlign w:val="center"/>
          </w:tcPr>
          <w:p w:rsidR="00F73B4B" w:rsidRDefault="00F73B4B" w:rsidP="0095471A">
            <w:pPr>
              <w:widowControl/>
              <w:jc w:val="center"/>
            </w:pPr>
            <w:r>
              <w:rPr>
                <w:rFonts w:ascii="宋体" w:hAnsi="宋体" w:cs="宋体" w:hint="eastAsia"/>
                <w:color w:val="000000"/>
                <w:kern w:val="0"/>
                <w:sz w:val="20"/>
                <w:szCs w:val="20"/>
                <w:lang w:bidi="ar"/>
              </w:rPr>
              <w:t>行政事业性收费</w:t>
            </w:r>
          </w:p>
        </w:tc>
        <w:tc>
          <w:tcPr>
            <w:tcW w:w="3614" w:type="pct"/>
            <w:gridSpan w:val="3"/>
            <w:tcBorders>
              <w:top w:val="nil"/>
              <w:left w:val="nil"/>
              <w:bottom w:val="single" w:sz="8" w:space="0" w:color="auto"/>
              <w:right w:val="single" w:sz="8" w:space="0" w:color="000000"/>
            </w:tcBorders>
            <w:tcMar>
              <w:left w:w="57" w:type="dxa"/>
              <w:right w:w="57" w:type="dxa"/>
            </w:tcMar>
            <w:vAlign w:val="center"/>
          </w:tcPr>
          <w:p w:rsidR="00F73B4B" w:rsidRDefault="00F73B4B" w:rsidP="0095471A">
            <w:pPr>
              <w:jc w:val="center"/>
              <w:rPr>
                <w:rFonts w:ascii="宋体"/>
                <w:sz w:val="24"/>
              </w:rPr>
            </w:pPr>
            <w:r>
              <w:rPr>
                <w:rFonts w:ascii="宋体" w:hint="eastAsia"/>
                <w:sz w:val="24"/>
              </w:rPr>
              <w:t>0</w:t>
            </w:r>
          </w:p>
        </w:tc>
      </w:tr>
    </w:tbl>
    <w:p w:rsidR="00F73B4B" w:rsidRDefault="00F73B4B" w:rsidP="00F73B4B">
      <w:pPr>
        <w:rPr>
          <w:sz w:val="32"/>
          <w:szCs w:val="32"/>
        </w:rPr>
      </w:pPr>
    </w:p>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Style w:val="a4"/>
        <w:tblpPr w:leftFromText="180" w:rightFromText="180" w:vertAnchor="text" w:horzAnchor="page" w:tblpXSpec="center" w:tblpY="874"/>
        <w:tblOverlap w:val="never"/>
        <w:tblW w:w="7500" w:type="dxa"/>
        <w:jc w:val="center"/>
        <w:tblLayout w:type="fixed"/>
        <w:tblLook w:val="0000" w:firstRow="0" w:lastRow="0" w:firstColumn="0" w:lastColumn="0" w:noHBand="0" w:noVBand="0"/>
      </w:tblPr>
      <w:tblGrid>
        <w:gridCol w:w="481"/>
        <w:gridCol w:w="948"/>
        <w:gridCol w:w="983"/>
        <w:gridCol w:w="1013"/>
        <w:gridCol w:w="740"/>
        <w:gridCol w:w="608"/>
        <w:gridCol w:w="750"/>
        <w:gridCol w:w="811"/>
        <w:gridCol w:w="568"/>
        <w:gridCol w:w="598"/>
      </w:tblGrid>
      <w:tr w:rsidR="00F73B4B" w:rsidTr="0095471A">
        <w:trPr>
          <w:trHeight w:val="416"/>
          <w:jc w:val="center"/>
        </w:trPr>
        <w:tc>
          <w:tcPr>
            <w:tcW w:w="2412" w:type="dxa"/>
            <w:gridSpan w:val="3"/>
            <w:vMerge w:val="restart"/>
          </w:tcPr>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（本列数据的勾</w:t>
            </w:r>
            <w:proofErr w:type="gramStart"/>
            <w:r>
              <w:rPr>
                <w:rFonts w:ascii="宋体" w:hAnsi="宋体" w:cs="宋体" w:hint="eastAsia"/>
                <w:color w:val="333333"/>
                <w:sz w:val="24"/>
                <w:shd w:val="clear" w:color="auto" w:fill="FFFFFF"/>
              </w:rPr>
              <w:t>稽</w:t>
            </w:r>
            <w:proofErr w:type="gramEnd"/>
            <w:r>
              <w:rPr>
                <w:rFonts w:ascii="宋体" w:hAnsi="宋体" w:cs="宋体" w:hint="eastAsia"/>
                <w:color w:val="333333"/>
                <w:sz w:val="24"/>
                <w:shd w:val="clear" w:color="auto" w:fill="FFFFFF"/>
              </w:rPr>
              <w:t>关系为：第一项加第二项之和，等于第三项加第四项之和）</w:t>
            </w:r>
          </w:p>
        </w:tc>
        <w:tc>
          <w:tcPr>
            <w:tcW w:w="5088" w:type="dxa"/>
            <w:gridSpan w:val="7"/>
          </w:tcPr>
          <w:p w:rsidR="00F73B4B" w:rsidRDefault="00F73B4B" w:rsidP="0095471A">
            <w:pPr>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申请人情况</w:t>
            </w:r>
          </w:p>
        </w:tc>
      </w:tr>
      <w:tr w:rsidR="00F73B4B" w:rsidTr="0095471A">
        <w:trPr>
          <w:trHeight w:val="761"/>
          <w:jc w:val="center"/>
        </w:trPr>
        <w:tc>
          <w:tcPr>
            <w:tcW w:w="2412" w:type="dxa"/>
            <w:gridSpan w:val="3"/>
            <w:vMerge/>
          </w:tcPr>
          <w:p w:rsidR="00F73B4B" w:rsidRDefault="00F73B4B" w:rsidP="0095471A">
            <w:pPr>
              <w:jc w:val="left"/>
              <w:rPr>
                <w:rFonts w:ascii="宋体" w:hAnsi="宋体" w:cs="宋体"/>
                <w:sz w:val="24"/>
              </w:rPr>
            </w:pPr>
          </w:p>
        </w:tc>
        <w:tc>
          <w:tcPr>
            <w:tcW w:w="1013" w:type="dxa"/>
            <w:vMerge w:val="restart"/>
          </w:tcPr>
          <w:p w:rsidR="00F73B4B" w:rsidRDefault="00F73B4B" w:rsidP="0095471A">
            <w:pPr>
              <w:rPr>
                <w:rFonts w:ascii="宋体" w:hAnsi="宋体" w:cs="宋体"/>
                <w:color w:val="333333"/>
                <w:sz w:val="24"/>
                <w:shd w:val="clear" w:color="auto" w:fill="FFFFFF"/>
              </w:rPr>
            </w:pPr>
          </w:p>
          <w:p w:rsidR="00F73B4B" w:rsidRDefault="00F73B4B" w:rsidP="0095471A">
            <w:pPr>
              <w:rPr>
                <w:rFonts w:ascii="宋体" w:hAnsi="宋体" w:cs="宋体"/>
                <w:color w:val="333333"/>
                <w:sz w:val="24"/>
                <w:shd w:val="clear" w:color="auto" w:fill="FFFFFF"/>
              </w:rPr>
            </w:pPr>
          </w:p>
          <w:p w:rsidR="00F73B4B" w:rsidRDefault="00F73B4B" w:rsidP="0095471A">
            <w:pPr>
              <w:rPr>
                <w:rFonts w:ascii="宋体" w:hAnsi="宋体" w:cs="宋体"/>
                <w:color w:val="333333"/>
                <w:sz w:val="24"/>
                <w:shd w:val="clear" w:color="auto" w:fill="FFFFFF"/>
              </w:rPr>
            </w:pPr>
          </w:p>
          <w:p w:rsidR="00F73B4B" w:rsidRDefault="00F73B4B" w:rsidP="0095471A">
            <w:pPr>
              <w:rPr>
                <w:rFonts w:ascii="宋体" w:hAnsi="宋体" w:cs="宋体"/>
                <w:sz w:val="24"/>
              </w:rPr>
            </w:pPr>
            <w:r>
              <w:rPr>
                <w:rFonts w:ascii="宋体" w:hAnsi="宋体" w:cs="宋体" w:hint="eastAsia"/>
                <w:color w:val="333333"/>
                <w:sz w:val="24"/>
                <w:shd w:val="clear" w:color="auto" w:fill="FFFFFF"/>
              </w:rPr>
              <w:t>自然人</w:t>
            </w:r>
          </w:p>
        </w:tc>
        <w:tc>
          <w:tcPr>
            <w:tcW w:w="3477" w:type="dxa"/>
            <w:gridSpan w:val="5"/>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法人或其他组织</w:t>
            </w:r>
          </w:p>
        </w:tc>
        <w:tc>
          <w:tcPr>
            <w:tcW w:w="598"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总计</w:t>
            </w:r>
          </w:p>
        </w:tc>
      </w:tr>
      <w:tr w:rsidR="00F73B4B" w:rsidTr="0095471A">
        <w:trPr>
          <w:trHeight w:val="1254"/>
          <w:jc w:val="center"/>
        </w:trPr>
        <w:tc>
          <w:tcPr>
            <w:tcW w:w="2412" w:type="dxa"/>
            <w:gridSpan w:val="3"/>
            <w:vMerge/>
          </w:tcPr>
          <w:p w:rsidR="00F73B4B" w:rsidRDefault="00F73B4B" w:rsidP="0095471A">
            <w:pPr>
              <w:jc w:val="left"/>
              <w:rPr>
                <w:rFonts w:ascii="宋体" w:hAnsi="宋体" w:cs="宋体"/>
                <w:sz w:val="24"/>
              </w:rPr>
            </w:pPr>
          </w:p>
        </w:tc>
        <w:tc>
          <w:tcPr>
            <w:tcW w:w="1013" w:type="dxa"/>
            <w:vMerge/>
          </w:tcPr>
          <w:p w:rsidR="00F73B4B" w:rsidRDefault="00F73B4B" w:rsidP="0095471A">
            <w:pPr>
              <w:jc w:val="center"/>
              <w:rPr>
                <w:rFonts w:ascii="宋体" w:hAnsi="宋体" w:cs="宋体"/>
                <w:sz w:val="24"/>
              </w:rPr>
            </w:pPr>
          </w:p>
        </w:tc>
        <w:tc>
          <w:tcPr>
            <w:tcW w:w="740"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商业企业</w:t>
            </w:r>
          </w:p>
        </w:tc>
        <w:tc>
          <w:tcPr>
            <w:tcW w:w="608"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科研机构</w:t>
            </w:r>
          </w:p>
        </w:tc>
        <w:tc>
          <w:tcPr>
            <w:tcW w:w="750"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社会公益组织</w:t>
            </w:r>
          </w:p>
        </w:tc>
        <w:tc>
          <w:tcPr>
            <w:tcW w:w="811"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法律服务机构</w:t>
            </w:r>
          </w:p>
        </w:tc>
        <w:tc>
          <w:tcPr>
            <w:tcW w:w="568" w:type="dxa"/>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其他</w:t>
            </w:r>
          </w:p>
        </w:tc>
        <w:tc>
          <w:tcPr>
            <w:tcW w:w="598" w:type="dxa"/>
          </w:tcPr>
          <w:p w:rsidR="00F73B4B" w:rsidRDefault="00F73B4B" w:rsidP="0095471A">
            <w:pPr>
              <w:jc w:val="center"/>
              <w:rPr>
                <w:rFonts w:ascii="宋体" w:hAnsi="宋体" w:cs="宋体"/>
                <w:sz w:val="24"/>
              </w:rPr>
            </w:pPr>
          </w:p>
        </w:tc>
      </w:tr>
      <w:tr w:rsidR="00F73B4B" w:rsidTr="0095471A">
        <w:trPr>
          <w:trHeight w:val="761"/>
          <w:jc w:val="center"/>
        </w:trPr>
        <w:tc>
          <w:tcPr>
            <w:tcW w:w="2412" w:type="dxa"/>
            <w:gridSpan w:val="3"/>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一、本年新收政府信息公开申请数量</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rPr>
                <w:rFonts w:ascii="宋体" w:hAnsi="宋体" w:cs="宋体"/>
                <w:sz w:val="24"/>
              </w:rPr>
            </w:pPr>
            <w:r>
              <w:rPr>
                <w:rFonts w:ascii="宋体" w:hAnsi="宋体" w:cs="宋体" w:hint="eastAsia"/>
                <w:sz w:val="24"/>
              </w:rPr>
              <w:t xml:space="preserve"> 0</w:t>
            </w:r>
          </w:p>
        </w:tc>
      </w:tr>
      <w:tr w:rsidR="00F73B4B" w:rsidTr="0095471A">
        <w:trPr>
          <w:trHeight w:val="761"/>
          <w:jc w:val="center"/>
        </w:trPr>
        <w:tc>
          <w:tcPr>
            <w:tcW w:w="2412" w:type="dxa"/>
            <w:gridSpan w:val="3"/>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二、上年结转政府信息公开申请数量</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61"/>
          <w:jc w:val="center"/>
        </w:trPr>
        <w:tc>
          <w:tcPr>
            <w:tcW w:w="481" w:type="dxa"/>
            <w:vMerge w:val="restart"/>
          </w:tcPr>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三、本年度办理结果</w:t>
            </w:r>
          </w:p>
        </w:tc>
        <w:tc>
          <w:tcPr>
            <w:tcW w:w="1931" w:type="dxa"/>
            <w:gridSpan w:val="2"/>
          </w:tcPr>
          <w:p w:rsidR="00F73B4B" w:rsidRDefault="00F73B4B" w:rsidP="0095471A">
            <w:pPr>
              <w:jc w:val="left"/>
              <w:rPr>
                <w:rFonts w:ascii="宋体" w:hAnsi="宋体" w:cs="宋体"/>
                <w:color w:val="333333"/>
                <w:sz w:val="24"/>
                <w:shd w:val="clear" w:color="auto" w:fill="FFFFFF"/>
              </w:rPr>
            </w:pPr>
            <w:r>
              <w:rPr>
                <w:rFonts w:ascii="宋体" w:hAnsi="宋体" w:cs="宋体" w:hint="eastAsia"/>
                <w:color w:val="333333"/>
                <w:sz w:val="24"/>
                <w:shd w:val="clear" w:color="auto" w:fill="FFFFFF"/>
              </w:rPr>
              <w:lastRenderedPageBreak/>
              <w:t>（一）予以公开</w:t>
            </w:r>
          </w:p>
        </w:tc>
        <w:tc>
          <w:tcPr>
            <w:tcW w:w="1013" w:type="dxa"/>
          </w:tcPr>
          <w:p w:rsidR="00F73B4B" w:rsidRDefault="00F73B4B" w:rsidP="0095471A">
            <w:pPr>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1931" w:type="dxa"/>
            <w:gridSpan w:val="2"/>
          </w:tcPr>
          <w:p w:rsidR="00F73B4B" w:rsidRDefault="00F73B4B" w:rsidP="0095471A">
            <w:pPr>
              <w:jc w:val="left"/>
              <w:rPr>
                <w:rFonts w:ascii="宋体" w:hAnsi="宋体" w:cs="宋体"/>
                <w:color w:val="333333"/>
                <w:sz w:val="24"/>
                <w:shd w:val="clear" w:color="auto" w:fill="FFFFFF"/>
              </w:rPr>
            </w:pPr>
            <w:r>
              <w:rPr>
                <w:rFonts w:ascii="宋体" w:hAnsi="宋体" w:cs="宋体" w:hint="eastAsia"/>
                <w:color w:val="333333"/>
                <w:sz w:val="24"/>
                <w:shd w:val="clear" w:color="auto" w:fill="FFFFFF"/>
              </w:rPr>
              <w:t>（二）部分公开（区分处理的，只计这一情形，不计其他情形）</w:t>
            </w:r>
          </w:p>
        </w:tc>
        <w:tc>
          <w:tcPr>
            <w:tcW w:w="1013" w:type="dxa"/>
          </w:tcPr>
          <w:p w:rsidR="00F73B4B" w:rsidRDefault="00F73B4B" w:rsidP="0095471A">
            <w:pPr>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val="restart"/>
          </w:tcPr>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color w:val="333333"/>
                <w:sz w:val="24"/>
                <w:shd w:val="clear" w:color="auto" w:fill="FFFFFF"/>
              </w:rPr>
            </w:pPr>
          </w:p>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（三）不予公开</w:t>
            </w: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1.属于国家秘密</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2.其他法律行政法规禁止公开</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3.危及“三安全</w:t>
            </w:r>
            <w:proofErr w:type="gramStart"/>
            <w:r>
              <w:rPr>
                <w:rFonts w:ascii="宋体" w:hAnsi="宋体" w:cs="宋体" w:hint="eastAsia"/>
                <w:color w:val="333333"/>
                <w:sz w:val="24"/>
                <w:shd w:val="clear" w:color="auto" w:fill="FFFFFF"/>
              </w:rPr>
              <w:t>一</w:t>
            </w:r>
            <w:proofErr w:type="gramEnd"/>
            <w:r>
              <w:rPr>
                <w:rFonts w:ascii="宋体" w:hAnsi="宋体" w:cs="宋体" w:hint="eastAsia"/>
                <w:color w:val="333333"/>
                <w:sz w:val="24"/>
                <w:shd w:val="clear" w:color="auto" w:fill="FFFFFF"/>
              </w:rPr>
              <w:t>稳定”</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4.保护第三方合法权益</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5.属于三类内部事务信息</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6.属于四类过程性信息</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7.属于行政执法案卷</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8.属于行政查询事项</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val="restart"/>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（四）无法提供</w:t>
            </w: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1.本机关不掌握相关政府信息</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2.没有现成信息需要另行制作</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3.补正后申请内容仍不明确</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val="restart"/>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（五）</w:t>
            </w:r>
            <w:proofErr w:type="gramStart"/>
            <w:r>
              <w:rPr>
                <w:rFonts w:ascii="宋体" w:hAnsi="宋体" w:cs="宋体" w:hint="eastAsia"/>
                <w:color w:val="333333"/>
                <w:sz w:val="24"/>
                <w:shd w:val="clear" w:color="auto" w:fill="FFFFFF"/>
              </w:rPr>
              <w:t>不予处理</w:t>
            </w:r>
            <w:proofErr w:type="gramEnd"/>
          </w:p>
        </w:tc>
        <w:tc>
          <w:tcPr>
            <w:tcW w:w="983" w:type="dxa"/>
          </w:tcPr>
          <w:p w:rsidR="00F73B4B" w:rsidRDefault="00F73B4B" w:rsidP="0095471A">
            <w:pPr>
              <w:jc w:val="left"/>
              <w:rPr>
                <w:rFonts w:ascii="宋体" w:hAnsi="宋体" w:cs="宋体"/>
                <w:kern w:val="2"/>
                <w:sz w:val="24"/>
              </w:rPr>
            </w:pPr>
            <w:r>
              <w:rPr>
                <w:rFonts w:ascii="宋体" w:hAnsi="宋体" w:cs="宋体" w:hint="eastAsia"/>
                <w:color w:val="333333"/>
                <w:sz w:val="24"/>
                <w:shd w:val="clear" w:color="auto" w:fill="FFFFFF"/>
              </w:rPr>
              <w:t>1.信访举报投诉类申请</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kern w:val="2"/>
                <w:sz w:val="24"/>
              </w:rPr>
            </w:pPr>
            <w:r>
              <w:rPr>
                <w:rFonts w:ascii="宋体" w:hAnsi="宋体" w:cs="宋体" w:hint="eastAsia"/>
                <w:color w:val="333333"/>
                <w:sz w:val="24"/>
                <w:shd w:val="clear" w:color="auto" w:fill="FFFFFF"/>
              </w:rPr>
              <w:t>2.重复申请</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kern w:val="2"/>
                <w:sz w:val="24"/>
              </w:rPr>
            </w:pPr>
            <w:r>
              <w:rPr>
                <w:rFonts w:ascii="宋体" w:hAnsi="宋体" w:cs="宋体" w:hint="eastAsia"/>
                <w:color w:val="333333"/>
                <w:sz w:val="24"/>
                <w:shd w:val="clear" w:color="auto" w:fill="FFFFFF"/>
              </w:rPr>
              <w:t>3.要求提供公开出版物</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kern w:val="2"/>
                <w:sz w:val="24"/>
              </w:rPr>
            </w:pPr>
            <w:r>
              <w:rPr>
                <w:rFonts w:ascii="宋体" w:hAnsi="宋体" w:cs="宋体" w:hint="eastAsia"/>
                <w:color w:val="333333"/>
                <w:sz w:val="24"/>
                <w:shd w:val="clear" w:color="auto" w:fill="FFFFFF"/>
              </w:rPr>
              <w:t>4.无正当理由大量反复申请</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948" w:type="dxa"/>
            <w:vMerge/>
          </w:tcPr>
          <w:p w:rsidR="00F73B4B" w:rsidRDefault="00F73B4B" w:rsidP="0095471A">
            <w:pPr>
              <w:jc w:val="left"/>
              <w:rPr>
                <w:rFonts w:ascii="宋体" w:hAnsi="宋体" w:cs="宋体"/>
                <w:sz w:val="24"/>
              </w:rPr>
            </w:pPr>
          </w:p>
        </w:tc>
        <w:tc>
          <w:tcPr>
            <w:tcW w:w="983" w:type="dxa"/>
          </w:tcPr>
          <w:p w:rsidR="00F73B4B" w:rsidRDefault="00F73B4B" w:rsidP="0095471A">
            <w:pPr>
              <w:jc w:val="left"/>
              <w:rPr>
                <w:rFonts w:ascii="宋体" w:hAnsi="宋体" w:cs="宋体"/>
                <w:kern w:val="2"/>
                <w:sz w:val="24"/>
              </w:rPr>
            </w:pPr>
            <w:r>
              <w:rPr>
                <w:rFonts w:ascii="宋体" w:hAnsi="宋体" w:cs="宋体" w:hint="eastAsia"/>
                <w:color w:val="333333"/>
                <w:sz w:val="24"/>
                <w:shd w:val="clear" w:color="auto" w:fill="FFFFFF"/>
              </w:rPr>
              <w:t>5.要求行政机关确认或重新出具已获取信息</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1931" w:type="dxa"/>
            <w:gridSpan w:val="2"/>
          </w:tcPr>
          <w:p w:rsidR="00F73B4B" w:rsidRDefault="00F73B4B" w:rsidP="0095471A">
            <w:pPr>
              <w:jc w:val="left"/>
              <w:rPr>
                <w:rFonts w:ascii="宋体" w:hAnsi="宋体" w:cs="宋体"/>
                <w:sz w:val="24"/>
              </w:rPr>
            </w:pPr>
            <w:r>
              <w:rPr>
                <w:rFonts w:ascii="宋体" w:hAnsi="宋体" w:cs="宋体" w:hint="eastAsia"/>
                <w:color w:val="333333"/>
                <w:sz w:val="24"/>
                <w:shd w:val="clear" w:color="auto" w:fill="FFFFFF"/>
              </w:rPr>
              <w:t>（六）其他处理</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481" w:type="dxa"/>
            <w:vMerge/>
          </w:tcPr>
          <w:p w:rsidR="00F73B4B" w:rsidRDefault="00F73B4B" w:rsidP="0095471A">
            <w:pPr>
              <w:jc w:val="left"/>
              <w:rPr>
                <w:rFonts w:ascii="宋体" w:hAnsi="宋体" w:cs="宋体"/>
                <w:sz w:val="24"/>
              </w:rPr>
            </w:pPr>
          </w:p>
        </w:tc>
        <w:tc>
          <w:tcPr>
            <w:tcW w:w="1931" w:type="dxa"/>
            <w:gridSpan w:val="2"/>
          </w:tcPr>
          <w:p w:rsidR="00F73B4B" w:rsidRDefault="00F73B4B" w:rsidP="0095471A">
            <w:pPr>
              <w:jc w:val="left"/>
              <w:rPr>
                <w:rFonts w:ascii="宋体" w:hAnsi="宋体" w:cs="宋体"/>
                <w:color w:val="333333"/>
                <w:sz w:val="24"/>
                <w:shd w:val="clear" w:color="auto" w:fill="FFFFFF"/>
              </w:rPr>
            </w:pPr>
            <w:r>
              <w:rPr>
                <w:rFonts w:ascii="宋体" w:hAnsi="宋体" w:cs="宋体" w:hint="eastAsia"/>
                <w:color w:val="333333"/>
                <w:sz w:val="24"/>
                <w:shd w:val="clear" w:color="auto" w:fill="FFFFFF"/>
              </w:rPr>
              <w:t>（七）总计</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r w:rsidR="00F73B4B" w:rsidTr="0095471A">
        <w:trPr>
          <w:trHeight w:val="774"/>
          <w:jc w:val="center"/>
        </w:trPr>
        <w:tc>
          <w:tcPr>
            <w:tcW w:w="2412" w:type="dxa"/>
            <w:gridSpan w:val="3"/>
          </w:tcPr>
          <w:p w:rsidR="00F73B4B" w:rsidRDefault="00F73B4B" w:rsidP="0095471A">
            <w:pPr>
              <w:jc w:val="left"/>
              <w:rPr>
                <w:rFonts w:ascii="宋体" w:hAnsi="宋体" w:cs="宋体"/>
                <w:color w:val="333333"/>
                <w:sz w:val="24"/>
                <w:shd w:val="clear" w:color="auto" w:fill="FFFFFF"/>
              </w:rPr>
            </w:pPr>
            <w:r>
              <w:rPr>
                <w:rFonts w:ascii="宋体" w:hAnsi="宋体" w:cs="宋体" w:hint="eastAsia"/>
                <w:color w:val="333333"/>
                <w:sz w:val="24"/>
                <w:shd w:val="clear" w:color="auto" w:fill="FFFFFF"/>
              </w:rPr>
              <w:t>四、结转下年度继续办理</w:t>
            </w:r>
          </w:p>
        </w:tc>
        <w:tc>
          <w:tcPr>
            <w:tcW w:w="1013" w:type="dxa"/>
          </w:tcPr>
          <w:p w:rsidR="00F73B4B" w:rsidRDefault="00F73B4B" w:rsidP="0095471A">
            <w:pPr>
              <w:jc w:val="center"/>
              <w:rPr>
                <w:rFonts w:ascii="宋体" w:hAnsi="宋体" w:cs="宋体"/>
                <w:sz w:val="24"/>
              </w:rPr>
            </w:pPr>
            <w:r>
              <w:rPr>
                <w:rFonts w:ascii="宋体" w:hAnsi="宋体" w:cs="宋体" w:hint="eastAsia"/>
                <w:sz w:val="24"/>
              </w:rPr>
              <w:t>0</w:t>
            </w:r>
          </w:p>
        </w:tc>
        <w:tc>
          <w:tcPr>
            <w:tcW w:w="740" w:type="dxa"/>
          </w:tcPr>
          <w:p w:rsidR="00F73B4B" w:rsidRDefault="00F73B4B" w:rsidP="0095471A">
            <w:pPr>
              <w:jc w:val="center"/>
              <w:rPr>
                <w:rFonts w:ascii="宋体" w:hAnsi="宋体" w:cs="宋体"/>
                <w:sz w:val="24"/>
              </w:rPr>
            </w:pPr>
            <w:r>
              <w:rPr>
                <w:rFonts w:ascii="宋体" w:hAnsi="宋体" w:cs="宋体" w:hint="eastAsia"/>
                <w:sz w:val="24"/>
              </w:rPr>
              <w:t>0</w:t>
            </w:r>
          </w:p>
        </w:tc>
        <w:tc>
          <w:tcPr>
            <w:tcW w:w="608" w:type="dxa"/>
          </w:tcPr>
          <w:p w:rsidR="00F73B4B" w:rsidRDefault="00F73B4B" w:rsidP="0095471A">
            <w:pPr>
              <w:jc w:val="center"/>
              <w:rPr>
                <w:rFonts w:ascii="宋体" w:hAnsi="宋体" w:cs="宋体"/>
                <w:sz w:val="24"/>
              </w:rPr>
            </w:pPr>
            <w:r>
              <w:rPr>
                <w:rFonts w:ascii="宋体" w:hAnsi="宋体" w:cs="宋体" w:hint="eastAsia"/>
                <w:sz w:val="24"/>
              </w:rPr>
              <w:t>0</w:t>
            </w:r>
          </w:p>
        </w:tc>
        <w:tc>
          <w:tcPr>
            <w:tcW w:w="750" w:type="dxa"/>
          </w:tcPr>
          <w:p w:rsidR="00F73B4B" w:rsidRDefault="00F73B4B" w:rsidP="0095471A">
            <w:pPr>
              <w:jc w:val="center"/>
              <w:rPr>
                <w:rFonts w:ascii="宋体" w:hAnsi="宋体" w:cs="宋体"/>
                <w:sz w:val="24"/>
              </w:rPr>
            </w:pPr>
            <w:r>
              <w:rPr>
                <w:rFonts w:ascii="宋体" w:hAnsi="宋体" w:cs="宋体" w:hint="eastAsia"/>
                <w:sz w:val="24"/>
              </w:rPr>
              <w:t>0</w:t>
            </w:r>
          </w:p>
        </w:tc>
        <w:tc>
          <w:tcPr>
            <w:tcW w:w="811" w:type="dxa"/>
          </w:tcPr>
          <w:p w:rsidR="00F73B4B" w:rsidRDefault="00F73B4B" w:rsidP="0095471A">
            <w:pPr>
              <w:jc w:val="center"/>
              <w:rPr>
                <w:rFonts w:ascii="宋体" w:hAnsi="宋体" w:cs="宋体"/>
                <w:sz w:val="24"/>
              </w:rPr>
            </w:pPr>
            <w:r>
              <w:rPr>
                <w:rFonts w:ascii="宋体" w:hAnsi="宋体" w:cs="宋体" w:hint="eastAsia"/>
                <w:sz w:val="24"/>
              </w:rPr>
              <w:t>0</w:t>
            </w:r>
          </w:p>
        </w:tc>
        <w:tc>
          <w:tcPr>
            <w:tcW w:w="568" w:type="dxa"/>
          </w:tcPr>
          <w:p w:rsidR="00F73B4B" w:rsidRDefault="00F73B4B" w:rsidP="0095471A">
            <w:pPr>
              <w:jc w:val="center"/>
              <w:rPr>
                <w:rFonts w:ascii="宋体" w:hAnsi="宋体" w:cs="宋体"/>
                <w:sz w:val="24"/>
              </w:rPr>
            </w:pPr>
            <w:r>
              <w:rPr>
                <w:rFonts w:ascii="宋体" w:hAnsi="宋体" w:cs="宋体" w:hint="eastAsia"/>
                <w:sz w:val="24"/>
              </w:rPr>
              <w:t>0</w:t>
            </w:r>
          </w:p>
        </w:tc>
        <w:tc>
          <w:tcPr>
            <w:tcW w:w="598" w:type="dxa"/>
          </w:tcPr>
          <w:p w:rsidR="00F73B4B" w:rsidRDefault="00F73B4B" w:rsidP="0095471A">
            <w:pPr>
              <w:jc w:val="center"/>
              <w:rPr>
                <w:rFonts w:ascii="宋体" w:hAnsi="宋体" w:cs="宋体"/>
                <w:sz w:val="24"/>
              </w:rPr>
            </w:pPr>
            <w:r>
              <w:rPr>
                <w:rFonts w:ascii="宋体" w:hAnsi="宋体" w:cs="宋体" w:hint="eastAsia"/>
                <w:sz w:val="24"/>
              </w:rPr>
              <w:t>0</w:t>
            </w:r>
          </w:p>
        </w:tc>
      </w:tr>
    </w:tbl>
    <w:p w:rsidR="00F73B4B" w:rsidRDefault="00F73B4B" w:rsidP="00F73B4B">
      <w:pPr>
        <w:rPr>
          <w:sz w:val="32"/>
          <w:szCs w:val="32"/>
        </w:rPr>
      </w:pPr>
    </w:p>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Style w:val="a4"/>
        <w:tblpPr w:leftFromText="180" w:rightFromText="180" w:vertAnchor="text" w:horzAnchor="page" w:tblpXSpec="center" w:tblpY="996"/>
        <w:tblOverlap w:val="never"/>
        <w:tblW w:w="0" w:type="auto"/>
        <w:jc w:val="center"/>
        <w:tblLayout w:type="fixed"/>
        <w:tblLook w:val="0000" w:firstRow="0" w:lastRow="0" w:firstColumn="0" w:lastColumn="0" w:noHBand="0" w:noVBand="0"/>
      </w:tblPr>
      <w:tblGrid>
        <w:gridCol w:w="456"/>
        <w:gridCol w:w="456"/>
        <w:gridCol w:w="456"/>
        <w:gridCol w:w="530"/>
        <w:gridCol w:w="514"/>
        <w:gridCol w:w="426"/>
        <w:gridCol w:w="446"/>
        <w:gridCol w:w="446"/>
        <w:gridCol w:w="425"/>
        <w:gridCol w:w="406"/>
        <w:gridCol w:w="567"/>
        <w:gridCol w:w="629"/>
        <w:gridCol w:w="628"/>
        <w:gridCol w:w="527"/>
        <w:gridCol w:w="588"/>
      </w:tblGrid>
      <w:tr w:rsidR="00F73B4B" w:rsidTr="0095471A">
        <w:trPr>
          <w:trHeight w:val="325"/>
          <w:jc w:val="center"/>
        </w:trPr>
        <w:tc>
          <w:tcPr>
            <w:tcW w:w="2412" w:type="dxa"/>
            <w:gridSpan w:val="5"/>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行政复议</w:t>
            </w:r>
          </w:p>
        </w:tc>
        <w:tc>
          <w:tcPr>
            <w:tcW w:w="5088" w:type="dxa"/>
            <w:gridSpan w:val="10"/>
          </w:tcPr>
          <w:p w:rsidR="00F73B4B" w:rsidRDefault="00F73B4B" w:rsidP="0095471A">
            <w:pPr>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行政诉讼</w:t>
            </w:r>
          </w:p>
        </w:tc>
      </w:tr>
      <w:tr w:rsidR="00F73B4B" w:rsidTr="0095471A">
        <w:trPr>
          <w:trHeight w:val="325"/>
          <w:jc w:val="center"/>
        </w:trPr>
        <w:tc>
          <w:tcPr>
            <w:tcW w:w="456" w:type="dxa"/>
            <w:vMerge w:val="restart"/>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t>结果维</w:t>
            </w:r>
            <w:r>
              <w:rPr>
                <w:rFonts w:ascii="宋体" w:hAnsi="宋体" w:cs="宋体" w:hint="eastAsia"/>
                <w:color w:val="333333"/>
                <w:sz w:val="24"/>
                <w:shd w:val="clear" w:color="auto" w:fill="FFFFFF"/>
              </w:rPr>
              <w:lastRenderedPageBreak/>
              <w:t>持</w:t>
            </w:r>
          </w:p>
        </w:tc>
        <w:tc>
          <w:tcPr>
            <w:tcW w:w="456" w:type="dxa"/>
            <w:vMerge w:val="restart"/>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lastRenderedPageBreak/>
              <w:t>结果纠</w:t>
            </w:r>
            <w:r>
              <w:rPr>
                <w:rFonts w:ascii="宋体" w:hAnsi="宋体" w:cs="宋体" w:hint="eastAsia"/>
                <w:color w:val="333333"/>
                <w:sz w:val="24"/>
                <w:shd w:val="clear" w:color="auto" w:fill="FFFFFF"/>
              </w:rPr>
              <w:lastRenderedPageBreak/>
              <w:t>正</w:t>
            </w:r>
          </w:p>
        </w:tc>
        <w:tc>
          <w:tcPr>
            <w:tcW w:w="456" w:type="dxa"/>
            <w:vMerge w:val="restart"/>
          </w:tcPr>
          <w:p w:rsidR="00F73B4B" w:rsidRDefault="00F73B4B" w:rsidP="0095471A">
            <w:pPr>
              <w:jc w:val="center"/>
              <w:rPr>
                <w:rFonts w:ascii="宋体" w:hAnsi="宋体" w:cs="宋体"/>
                <w:sz w:val="24"/>
              </w:rPr>
            </w:pPr>
            <w:r>
              <w:rPr>
                <w:rFonts w:ascii="宋体" w:hAnsi="宋体" w:cs="宋体" w:hint="eastAsia"/>
                <w:color w:val="333333"/>
                <w:sz w:val="24"/>
                <w:shd w:val="clear" w:color="auto" w:fill="FFFFFF"/>
              </w:rPr>
              <w:lastRenderedPageBreak/>
              <w:t>其他结</w:t>
            </w:r>
            <w:r>
              <w:rPr>
                <w:rFonts w:ascii="宋体" w:hAnsi="宋体" w:cs="宋体" w:hint="eastAsia"/>
                <w:color w:val="333333"/>
                <w:sz w:val="24"/>
                <w:shd w:val="clear" w:color="auto" w:fill="FFFFFF"/>
              </w:rPr>
              <w:lastRenderedPageBreak/>
              <w:t>果</w:t>
            </w:r>
          </w:p>
        </w:tc>
        <w:tc>
          <w:tcPr>
            <w:tcW w:w="530" w:type="dxa"/>
            <w:vMerge w:val="restart"/>
          </w:tcPr>
          <w:p w:rsidR="00F73B4B" w:rsidRDefault="00F73B4B" w:rsidP="0095471A">
            <w:pPr>
              <w:jc w:val="center"/>
              <w:rPr>
                <w:rFonts w:ascii="宋体" w:hAnsi="宋体" w:cs="宋体"/>
                <w:sz w:val="24"/>
              </w:rPr>
            </w:pPr>
            <w:r>
              <w:rPr>
                <w:rFonts w:ascii="宋体" w:hAnsi="宋体" w:cs="宋体" w:hint="eastAsia"/>
                <w:sz w:val="24"/>
              </w:rPr>
              <w:lastRenderedPageBreak/>
              <w:t>尚未审</w:t>
            </w:r>
            <w:r>
              <w:rPr>
                <w:rFonts w:ascii="宋体" w:hAnsi="宋体" w:cs="宋体" w:hint="eastAsia"/>
                <w:sz w:val="24"/>
              </w:rPr>
              <w:lastRenderedPageBreak/>
              <w:t>结</w:t>
            </w:r>
          </w:p>
        </w:tc>
        <w:tc>
          <w:tcPr>
            <w:tcW w:w="514" w:type="dxa"/>
            <w:vMerge w:val="restart"/>
          </w:tcPr>
          <w:p w:rsidR="00F73B4B" w:rsidRDefault="00F73B4B" w:rsidP="0095471A">
            <w:pPr>
              <w:jc w:val="center"/>
              <w:rPr>
                <w:rFonts w:ascii="宋体" w:hAnsi="宋体" w:cs="宋体"/>
                <w:sz w:val="24"/>
              </w:rPr>
            </w:pPr>
            <w:r>
              <w:rPr>
                <w:rFonts w:ascii="宋体" w:hAnsi="宋体" w:cs="宋体" w:hint="eastAsia"/>
                <w:sz w:val="24"/>
              </w:rPr>
              <w:lastRenderedPageBreak/>
              <w:t xml:space="preserve">  总计</w:t>
            </w:r>
          </w:p>
        </w:tc>
        <w:tc>
          <w:tcPr>
            <w:tcW w:w="2149" w:type="dxa"/>
            <w:gridSpan w:val="5"/>
          </w:tcPr>
          <w:p w:rsidR="00F73B4B" w:rsidRDefault="00F73B4B" w:rsidP="0095471A">
            <w:pPr>
              <w:rPr>
                <w:rFonts w:ascii="宋体" w:hAnsi="宋体" w:cs="宋体"/>
                <w:sz w:val="24"/>
              </w:rPr>
            </w:pPr>
            <w:r>
              <w:rPr>
                <w:rFonts w:ascii="宋体" w:hAnsi="宋体" w:cs="宋体" w:hint="eastAsia"/>
                <w:sz w:val="24"/>
              </w:rPr>
              <w:t>未经复议直接起诉</w:t>
            </w:r>
          </w:p>
        </w:tc>
        <w:tc>
          <w:tcPr>
            <w:tcW w:w="2939" w:type="dxa"/>
            <w:gridSpan w:val="5"/>
          </w:tcPr>
          <w:p w:rsidR="00F73B4B" w:rsidRDefault="00F73B4B" w:rsidP="0095471A">
            <w:pPr>
              <w:jc w:val="center"/>
              <w:rPr>
                <w:rFonts w:ascii="宋体" w:hAnsi="宋体" w:cs="宋体"/>
                <w:sz w:val="24"/>
              </w:rPr>
            </w:pPr>
            <w:r>
              <w:rPr>
                <w:rFonts w:ascii="宋体" w:hAnsi="宋体" w:cs="宋体" w:hint="eastAsia"/>
                <w:sz w:val="24"/>
              </w:rPr>
              <w:t>复议后起诉</w:t>
            </w:r>
          </w:p>
        </w:tc>
      </w:tr>
      <w:tr w:rsidR="00F73B4B" w:rsidTr="0095471A">
        <w:trPr>
          <w:trHeight w:val="325"/>
          <w:jc w:val="center"/>
        </w:trPr>
        <w:tc>
          <w:tcPr>
            <w:tcW w:w="456" w:type="dxa"/>
            <w:vMerge/>
          </w:tcPr>
          <w:p w:rsidR="00F73B4B" w:rsidRDefault="00F73B4B" w:rsidP="0095471A">
            <w:pPr>
              <w:jc w:val="center"/>
              <w:rPr>
                <w:rFonts w:ascii="宋体" w:hAnsi="宋体" w:cs="宋体"/>
                <w:sz w:val="24"/>
              </w:rPr>
            </w:pPr>
          </w:p>
        </w:tc>
        <w:tc>
          <w:tcPr>
            <w:tcW w:w="456" w:type="dxa"/>
            <w:vMerge/>
          </w:tcPr>
          <w:p w:rsidR="00F73B4B" w:rsidRDefault="00F73B4B" w:rsidP="0095471A">
            <w:pPr>
              <w:jc w:val="center"/>
              <w:rPr>
                <w:rFonts w:ascii="宋体" w:hAnsi="宋体" w:cs="宋体"/>
                <w:sz w:val="24"/>
              </w:rPr>
            </w:pPr>
          </w:p>
        </w:tc>
        <w:tc>
          <w:tcPr>
            <w:tcW w:w="456" w:type="dxa"/>
            <w:vMerge/>
          </w:tcPr>
          <w:p w:rsidR="00F73B4B" w:rsidRDefault="00F73B4B" w:rsidP="0095471A">
            <w:pPr>
              <w:jc w:val="center"/>
              <w:rPr>
                <w:rFonts w:ascii="宋体" w:hAnsi="宋体" w:cs="宋体"/>
                <w:sz w:val="24"/>
              </w:rPr>
            </w:pPr>
          </w:p>
        </w:tc>
        <w:tc>
          <w:tcPr>
            <w:tcW w:w="530" w:type="dxa"/>
            <w:vMerge/>
          </w:tcPr>
          <w:p w:rsidR="00F73B4B" w:rsidRDefault="00F73B4B" w:rsidP="0095471A">
            <w:pPr>
              <w:jc w:val="center"/>
              <w:rPr>
                <w:rFonts w:ascii="宋体" w:hAnsi="宋体" w:cs="宋体"/>
                <w:sz w:val="24"/>
              </w:rPr>
            </w:pPr>
          </w:p>
        </w:tc>
        <w:tc>
          <w:tcPr>
            <w:tcW w:w="514" w:type="dxa"/>
            <w:vMerge/>
          </w:tcPr>
          <w:p w:rsidR="00F73B4B" w:rsidRDefault="00F73B4B" w:rsidP="0095471A">
            <w:pPr>
              <w:jc w:val="center"/>
              <w:rPr>
                <w:rFonts w:ascii="宋体" w:hAnsi="宋体" w:cs="宋体"/>
                <w:sz w:val="24"/>
              </w:rPr>
            </w:pPr>
          </w:p>
        </w:tc>
        <w:tc>
          <w:tcPr>
            <w:tcW w:w="426" w:type="dxa"/>
          </w:tcPr>
          <w:p w:rsidR="00F73B4B" w:rsidRDefault="00F73B4B" w:rsidP="0095471A">
            <w:pPr>
              <w:jc w:val="center"/>
              <w:rPr>
                <w:rFonts w:ascii="宋体" w:hAnsi="宋体" w:cs="宋体"/>
                <w:sz w:val="24"/>
              </w:rPr>
            </w:pPr>
            <w:r>
              <w:rPr>
                <w:rFonts w:ascii="宋体" w:hAnsi="宋体" w:cs="宋体" w:hint="eastAsia"/>
                <w:sz w:val="24"/>
              </w:rPr>
              <w:t>结果</w:t>
            </w:r>
            <w:r>
              <w:rPr>
                <w:rFonts w:ascii="宋体" w:hAnsi="宋体" w:cs="宋体" w:hint="eastAsia"/>
                <w:sz w:val="24"/>
              </w:rPr>
              <w:lastRenderedPageBreak/>
              <w:t>维持</w:t>
            </w:r>
          </w:p>
        </w:tc>
        <w:tc>
          <w:tcPr>
            <w:tcW w:w="446" w:type="dxa"/>
          </w:tcPr>
          <w:p w:rsidR="00F73B4B" w:rsidRDefault="00F73B4B" w:rsidP="0095471A">
            <w:pPr>
              <w:jc w:val="center"/>
              <w:rPr>
                <w:rFonts w:ascii="宋体" w:hAnsi="宋体" w:cs="宋体"/>
                <w:sz w:val="24"/>
              </w:rPr>
            </w:pPr>
            <w:r>
              <w:rPr>
                <w:rFonts w:ascii="宋体" w:hAnsi="宋体" w:cs="宋体" w:hint="eastAsia"/>
                <w:sz w:val="24"/>
              </w:rPr>
              <w:lastRenderedPageBreak/>
              <w:t>结果</w:t>
            </w:r>
            <w:r>
              <w:rPr>
                <w:rFonts w:ascii="宋体" w:hAnsi="宋体" w:cs="宋体" w:hint="eastAsia"/>
                <w:sz w:val="24"/>
              </w:rPr>
              <w:lastRenderedPageBreak/>
              <w:t>纠正</w:t>
            </w:r>
          </w:p>
        </w:tc>
        <w:tc>
          <w:tcPr>
            <w:tcW w:w="446" w:type="dxa"/>
          </w:tcPr>
          <w:p w:rsidR="00F73B4B" w:rsidRDefault="00F73B4B" w:rsidP="0095471A">
            <w:pPr>
              <w:jc w:val="center"/>
              <w:rPr>
                <w:rFonts w:ascii="宋体" w:hAnsi="宋体" w:cs="宋体"/>
                <w:sz w:val="24"/>
              </w:rPr>
            </w:pPr>
            <w:r>
              <w:rPr>
                <w:rFonts w:ascii="宋体" w:hAnsi="宋体" w:cs="宋体" w:hint="eastAsia"/>
                <w:sz w:val="24"/>
              </w:rPr>
              <w:lastRenderedPageBreak/>
              <w:t>其他</w:t>
            </w:r>
            <w:r>
              <w:rPr>
                <w:rFonts w:ascii="宋体" w:hAnsi="宋体" w:cs="宋体" w:hint="eastAsia"/>
                <w:sz w:val="24"/>
              </w:rPr>
              <w:lastRenderedPageBreak/>
              <w:t>结果</w:t>
            </w:r>
          </w:p>
        </w:tc>
        <w:tc>
          <w:tcPr>
            <w:tcW w:w="425" w:type="dxa"/>
          </w:tcPr>
          <w:p w:rsidR="00F73B4B" w:rsidRDefault="00F73B4B" w:rsidP="0095471A">
            <w:pPr>
              <w:jc w:val="center"/>
              <w:rPr>
                <w:rFonts w:ascii="宋体" w:hAnsi="宋体" w:cs="宋体"/>
                <w:sz w:val="24"/>
              </w:rPr>
            </w:pPr>
            <w:r>
              <w:rPr>
                <w:rFonts w:ascii="宋体" w:hAnsi="宋体" w:cs="宋体" w:hint="eastAsia"/>
                <w:sz w:val="24"/>
              </w:rPr>
              <w:lastRenderedPageBreak/>
              <w:t>尚未</w:t>
            </w:r>
            <w:r>
              <w:rPr>
                <w:rFonts w:ascii="宋体" w:hAnsi="宋体" w:cs="宋体" w:hint="eastAsia"/>
                <w:sz w:val="24"/>
              </w:rPr>
              <w:lastRenderedPageBreak/>
              <w:t>审结</w:t>
            </w:r>
          </w:p>
        </w:tc>
        <w:tc>
          <w:tcPr>
            <w:tcW w:w="406" w:type="dxa"/>
          </w:tcPr>
          <w:p w:rsidR="00F73B4B" w:rsidRDefault="00F73B4B" w:rsidP="0095471A">
            <w:pPr>
              <w:jc w:val="center"/>
              <w:rPr>
                <w:rFonts w:ascii="宋体" w:hAnsi="宋体" w:cs="宋体"/>
                <w:sz w:val="24"/>
              </w:rPr>
            </w:pPr>
            <w:r>
              <w:rPr>
                <w:rFonts w:ascii="宋体" w:hAnsi="宋体" w:cs="宋体" w:hint="eastAsia"/>
                <w:sz w:val="24"/>
              </w:rPr>
              <w:lastRenderedPageBreak/>
              <w:t xml:space="preserve"> 总</w:t>
            </w:r>
            <w:r>
              <w:rPr>
                <w:rFonts w:ascii="宋体" w:hAnsi="宋体" w:cs="宋体" w:hint="eastAsia"/>
                <w:sz w:val="24"/>
              </w:rPr>
              <w:lastRenderedPageBreak/>
              <w:t>计</w:t>
            </w:r>
          </w:p>
        </w:tc>
        <w:tc>
          <w:tcPr>
            <w:tcW w:w="567" w:type="dxa"/>
          </w:tcPr>
          <w:p w:rsidR="00F73B4B" w:rsidRDefault="00F73B4B" w:rsidP="0095471A">
            <w:pPr>
              <w:jc w:val="center"/>
              <w:rPr>
                <w:rFonts w:ascii="宋体" w:hAnsi="宋体" w:cs="宋体"/>
                <w:sz w:val="24"/>
              </w:rPr>
            </w:pPr>
            <w:r>
              <w:rPr>
                <w:rFonts w:ascii="宋体" w:hAnsi="宋体" w:cs="宋体" w:hint="eastAsia"/>
                <w:sz w:val="24"/>
              </w:rPr>
              <w:lastRenderedPageBreak/>
              <w:t>结果</w:t>
            </w:r>
            <w:r>
              <w:rPr>
                <w:rFonts w:ascii="宋体" w:hAnsi="宋体" w:cs="宋体" w:hint="eastAsia"/>
                <w:sz w:val="24"/>
              </w:rPr>
              <w:lastRenderedPageBreak/>
              <w:t>维持</w:t>
            </w:r>
          </w:p>
        </w:tc>
        <w:tc>
          <w:tcPr>
            <w:tcW w:w="629" w:type="dxa"/>
          </w:tcPr>
          <w:p w:rsidR="00F73B4B" w:rsidRDefault="00F73B4B" w:rsidP="0095471A">
            <w:pPr>
              <w:jc w:val="center"/>
              <w:rPr>
                <w:rFonts w:ascii="宋体" w:hAnsi="宋体" w:cs="宋体"/>
                <w:sz w:val="24"/>
              </w:rPr>
            </w:pPr>
            <w:r>
              <w:rPr>
                <w:rFonts w:ascii="宋体" w:hAnsi="宋体" w:cs="宋体" w:hint="eastAsia"/>
                <w:sz w:val="24"/>
              </w:rPr>
              <w:lastRenderedPageBreak/>
              <w:t>结果</w:t>
            </w:r>
            <w:r>
              <w:rPr>
                <w:rFonts w:ascii="宋体" w:hAnsi="宋体" w:cs="宋体" w:hint="eastAsia"/>
                <w:sz w:val="24"/>
              </w:rPr>
              <w:lastRenderedPageBreak/>
              <w:t>纠正</w:t>
            </w:r>
          </w:p>
        </w:tc>
        <w:tc>
          <w:tcPr>
            <w:tcW w:w="628" w:type="dxa"/>
          </w:tcPr>
          <w:p w:rsidR="00F73B4B" w:rsidRDefault="00F73B4B" w:rsidP="0095471A">
            <w:pPr>
              <w:jc w:val="center"/>
              <w:rPr>
                <w:rFonts w:ascii="宋体" w:hAnsi="宋体" w:cs="宋体"/>
                <w:sz w:val="24"/>
              </w:rPr>
            </w:pPr>
            <w:r>
              <w:rPr>
                <w:rFonts w:ascii="宋体" w:hAnsi="宋体" w:cs="宋体" w:hint="eastAsia"/>
                <w:sz w:val="24"/>
              </w:rPr>
              <w:lastRenderedPageBreak/>
              <w:t>其他</w:t>
            </w:r>
            <w:r>
              <w:rPr>
                <w:rFonts w:ascii="宋体" w:hAnsi="宋体" w:cs="宋体" w:hint="eastAsia"/>
                <w:sz w:val="24"/>
              </w:rPr>
              <w:lastRenderedPageBreak/>
              <w:t>结果</w:t>
            </w:r>
          </w:p>
        </w:tc>
        <w:tc>
          <w:tcPr>
            <w:tcW w:w="527" w:type="dxa"/>
          </w:tcPr>
          <w:p w:rsidR="00F73B4B" w:rsidRDefault="00F73B4B" w:rsidP="0095471A">
            <w:pPr>
              <w:jc w:val="center"/>
              <w:rPr>
                <w:rFonts w:ascii="宋体" w:hAnsi="宋体" w:cs="宋体"/>
                <w:sz w:val="24"/>
              </w:rPr>
            </w:pPr>
            <w:r>
              <w:rPr>
                <w:rFonts w:ascii="宋体" w:hAnsi="宋体" w:cs="宋体" w:hint="eastAsia"/>
                <w:sz w:val="24"/>
              </w:rPr>
              <w:lastRenderedPageBreak/>
              <w:t>尚未</w:t>
            </w:r>
            <w:r>
              <w:rPr>
                <w:rFonts w:ascii="宋体" w:hAnsi="宋体" w:cs="宋体" w:hint="eastAsia"/>
                <w:sz w:val="24"/>
              </w:rPr>
              <w:lastRenderedPageBreak/>
              <w:t>审结</w:t>
            </w:r>
          </w:p>
        </w:tc>
        <w:tc>
          <w:tcPr>
            <w:tcW w:w="588" w:type="dxa"/>
          </w:tcPr>
          <w:p w:rsidR="00F73B4B" w:rsidRDefault="00F73B4B" w:rsidP="0095471A">
            <w:pPr>
              <w:jc w:val="center"/>
              <w:rPr>
                <w:rFonts w:ascii="宋体" w:hAnsi="宋体" w:cs="宋体"/>
                <w:sz w:val="24"/>
              </w:rPr>
            </w:pPr>
            <w:r>
              <w:rPr>
                <w:rFonts w:ascii="宋体" w:hAnsi="宋体" w:cs="宋体" w:hint="eastAsia"/>
                <w:sz w:val="24"/>
              </w:rPr>
              <w:lastRenderedPageBreak/>
              <w:t xml:space="preserve">  总</w:t>
            </w:r>
            <w:r>
              <w:rPr>
                <w:rFonts w:ascii="宋体" w:hAnsi="宋体" w:cs="宋体" w:hint="eastAsia"/>
                <w:sz w:val="24"/>
              </w:rPr>
              <w:lastRenderedPageBreak/>
              <w:t>计</w:t>
            </w:r>
          </w:p>
        </w:tc>
      </w:tr>
      <w:tr w:rsidR="00F73B4B" w:rsidTr="0095471A">
        <w:trPr>
          <w:trHeight w:val="325"/>
          <w:jc w:val="center"/>
        </w:trPr>
        <w:tc>
          <w:tcPr>
            <w:tcW w:w="456" w:type="dxa"/>
          </w:tcPr>
          <w:p w:rsidR="00F73B4B" w:rsidRDefault="00F73B4B" w:rsidP="0095471A">
            <w:pPr>
              <w:rPr>
                <w:sz w:val="32"/>
                <w:szCs w:val="32"/>
              </w:rPr>
            </w:pPr>
            <w:r>
              <w:rPr>
                <w:rFonts w:hint="eastAsia"/>
                <w:sz w:val="32"/>
                <w:szCs w:val="32"/>
              </w:rPr>
              <w:lastRenderedPageBreak/>
              <w:t>0</w:t>
            </w:r>
          </w:p>
        </w:tc>
        <w:tc>
          <w:tcPr>
            <w:tcW w:w="456" w:type="dxa"/>
          </w:tcPr>
          <w:p w:rsidR="00F73B4B" w:rsidRDefault="00F73B4B" w:rsidP="0095471A">
            <w:pPr>
              <w:rPr>
                <w:sz w:val="32"/>
                <w:szCs w:val="32"/>
              </w:rPr>
            </w:pPr>
            <w:r>
              <w:rPr>
                <w:rFonts w:hint="eastAsia"/>
                <w:sz w:val="32"/>
                <w:szCs w:val="32"/>
              </w:rPr>
              <w:t>0</w:t>
            </w:r>
          </w:p>
        </w:tc>
        <w:tc>
          <w:tcPr>
            <w:tcW w:w="456" w:type="dxa"/>
          </w:tcPr>
          <w:p w:rsidR="00F73B4B" w:rsidRDefault="00F73B4B" w:rsidP="0095471A">
            <w:pPr>
              <w:rPr>
                <w:sz w:val="32"/>
                <w:szCs w:val="32"/>
              </w:rPr>
            </w:pPr>
            <w:r>
              <w:rPr>
                <w:rFonts w:hint="eastAsia"/>
                <w:sz w:val="32"/>
                <w:szCs w:val="32"/>
              </w:rPr>
              <w:t>0</w:t>
            </w:r>
          </w:p>
        </w:tc>
        <w:tc>
          <w:tcPr>
            <w:tcW w:w="530" w:type="dxa"/>
          </w:tcPr>
          <w:p w:rsidR="00F73B4B" w:rsidRDefault="00F73B4B" w:rsidP="0095471A">
            <w:pPr>
              <w:rPr>
                <w:sz w:val="32"/>
                <w:szCs w:val="32"/>
              </w:rPr>
            </w:pPr>
            <w:r>
              <w:rPr>
                <w:rFonts w:hint="eastAsia"/>
                <w:sz w:val="32"/>
                <w:szCs w:val="32"/>
              </w:rPr>
              <w:t>0</w:t>
            </w:r>
          </w:p>
        </w:tc>
        <w:tc>
          <w:tcPr>
            <w:tcW w:w="514" w:type="dxa"/>
          </w:tcPr>
          <w:p w:rsidR="00F73B4B" w:rsidRDefault="00F73B4B" w:rsidP="0095471A">
            <w:pPr>
              <w:rPr>
                <w:sz w:val="32"/>
                <w:szCs w:val="32"/>
              </w:rPr>
            </w:pPr>
            <w:r>
              <w:rPr>
                <w:rFonts w:hint="eastAsia"/>
                <w:sz w:val="32"/>
                <w:szCs w:val="32"/>
              </w:rPr>
              <w:t>0</w:t>
            </w:r>
          </w:p>
        </w:tc>
        <w:tc>
          <w:tcPr>
            <w:tcW w:w="426" w:type="dxa"/>
          </w:tcPr>
          <w:p w:rsidR="00F73B4B" w:rsidRDefault="00F73B4B" w:rsidP="0095471A">
            <w:pPr>
              <w:rPr>
                <w:sz w:val="32"/>
                <w:szCs w:val="32"/>
              </w:rPr>
            </w:pPr>
            <w:r>
              <w:rPr>
                <w:rFonts w:hint="eastAsia"/>
                <w:sz w:val="32"/>
                <w:szCs w:val="32"/>
              </w:rPr>
              <w:t>0</w:t>
            </w:r>
          </w:p>
        </w:tc>
        <w:tc>
          <w:tcPr>
            <w:tcW w:w="446" w:type="dxa"/>
          </w:tcPr>
          <w:p w:rsidR="00F73B4B" w:rsidRDefault="00F73B4B" w:rsidP="0095471A">
            <w:pPr>
              <w:rPr>
                <w:sz w:val="32"/>
                <w:szCs w:val="32"/>
              </w:rPr>
            </w:pPr>
            <w:r>
              <w:rPr>
                <w:rFonts w:hint="eastAsia"/>
                <w:sz w:val="32"/>
                <w:szCs w:val="32"/>
              </w:rPr>
              <w:t>0</w:t>
            </w:r>
          </w:p>
        </w:tc>
        <w:tc>
          <w:tcPr>
            <w:tcW w:w="446" w:type="dxa"/>
          </w:tcPr>
          <w:p w:rsidR="00F73B4B" w:rsidRDefault="00F73B4B" w:rsidP="0095471A">
            <w:pPr>
              <w:rPr>
                <w:sz w:val="32"/>
                <w:szCs w:val="32"/>
              </w:rPr>
            </w:pPr>
            <w:r>
              <w:rPr>
                <w:rFonts w:hint="eastAsia"/>
                <w:sz w:val="32"/>
                <w:szCs w:val="32"/>
              </w:rPr>
              <w:t>0</w:t>
            </w:r>
          </w:p>
        </w:tc>
        <w:tc>
          <w:tcPr>
            <w:tcW w:w="425" w:type="dxa"/>
          </w:tcPr>
          <w:p w:rsidR="00F73B4B" w:rsidRDefault="00F73B4B" w:rsidP="0095471A">
            <w:pPr>
              <w:rPr>
                <w:sz w:val="32"/>
                <w:szCs w:val="32"/>
              </w:rPr>
            </w:pPr>
            <w:r>
              <w:rPr>
                <w:rFonts w:hint="eastAsia"/>
                <w:sz w:val="32"/>
                <w:szCs w:val="32"/>
              </w:rPr>
              <w:t>0</w:t>
            </w:r>
          </w:p>
        </w:tc>
        <w:tc>
          <w:tcPr>
            <w:tcW w:w="406" w:type="dxa"/>
          </w:tcPr>
          <w:p w:rsidR="00F73B4B" w:rsidRDefault="00F73B4B" w:rsidP="0095471A">
            <w:pPr>
              <w:rPr>
                <w:sz w:val="32"/>
                <w:szCs w:val="32"/>
              </w:rPr>
            </w:pPr>
            <w:r>
              <w:rPr>
                <w:rFonts w:hint="eastAsia"/>
                <w:sz w:val="32"/>
                <w:szCs w:val="32"/>
              </w:rPr>
              <w:t>0</w:t>
            </w:r>
          </w:p>
        </w:tc>
        <w:tc>
          <w:tcPr>
            <w:tcW w:w="567" w:type="dxa"/>
          </w:tcPr>
          <w:p w:rsidR="00F73B4B" w:rsidRDefault="00F73B4B" w:rsidP="0095471A">
            <w:pPr>
              <w:rPr>
                <w:sz w:val="32"/>
                <w:szCs w:val="32"/>
              </w:rPr>
            </w:pPr>
            <w:r>
              <w:rPr>
                <w:rFonts w:hint="eastAsia"/>
                <w:sz w:val="32"/>
                <w:szCs w:val="32"/>
              </w:rPr>
              <w:t>0</w:t>
            </w:r>
          </w:p>
        </w:tc>
        <w:tc>
          <w:tcPr>
            <w:tcW w:w="629" w:type="dxa"/>
          </w:tcPr>
          <w:p w:rsidR="00F73B4B" w:rsidRDefault="00F73B4B" w:rsidP="0095471A">
            <w:pPr>
              <w:rPr>
                <w:sz w:val="32"/>
                <w:szCs w:val="32"/>
              </w:rPr>
            </w:pPr>
            <w:r>
              <w:rPr>
                <w:rFonts w:hint="eastAsia"/>
                <w:sz w:val="32"/>
                <w:szCs w:val="32"/>
              </w:rPr>
              <w:t>0</w:t>
            </w:r>
          </w:p>
        </w:tc>
        <w:tc>
          <w:tcPr>
            <w:tcW w:w="628" w:type="dxa"/>
          </w:tcPr>
          <w:p w:rsidR="00F73B4B" w:rsidRDefault="00F73B4B" w:rsidP="0095471A">
            <w:pPr>
              <w:rPr>
                <w:sz w:val="32"/>
                <w:szCs w:val="32"/>
              </w:rPr>
            </w:pPr>
            <w:r>
              <w:rPr>
                <w:rFonts w:hint="eastAsia"/>
                <w:sz w:val="32"/>
                <w:szCs w:val="32"/>
              </w:rPr>
              <w:t>0</w:t>
            </w:r>
          </w:p>
        </w:tc>
        <w:tc>
          <w:tcPr>
            <w:tcW w:w="527" w:type="dxa"/>
          </w:tcPr>
          <w:p w:rsidR="00F73B4B" w:rsidRDefault="00F73B4B" w:rsidP="0095471A">
            <w:pPr>
              <w:rPr>
                <w:sz w:val="32"/>
                <w:szCs w:val="32"/>
              </w:rPr>
            </w:pPr>
            <w:r>
              <w:rPr>
                <w:rFonts w:hint="eastAsia"/>
                <w:sz w:val="32"/>
                <w:szCs w:val="32"/>
              </w:rPr>
              <w:t>0</w:t>
            </w:r>
          </w:p>
        </w:tc>
        <w:tc>
          <w:tcPr>
            <w:tcW w:w="588" w:type="dxa"/>
          </w:tcPr>
          <w:p w:rsidR="00F73B4B" w:rsidRDefault="00F73B4B" w:rsidP="0095471A">
            <w:pPr>
              <w:rPr>
                <w:sz w:val="32"/>
                <w:szCs w:val="32"/>
              </w:rPr>
            </w:pPr>
            <w:r>
              <w:rPr>
                <w:rFonts w:hint="eastAsia"/>
                <w:sz w:val="32"/>
                <w:szCs w:val="32"/>
              </w:rPr>
              <w:t>0</w:t>
            </w:r>
          </w:p>
        </w:tc>
      </w:tr>
    </w:tbl>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五、存在的主要问题及改进情况</w:t>
      </w:r>
    </w:p>
    <w:p w:rsidR="00F73B4B" w:rsidRDefault="00F73B4B" w:rsidP="00F73B4B">
      <w:pPr>
        <w:pStyle w:val="a3"/>
        <w:widowControl/>
        <w:spacing w:before="0" w:beforeAutospacing="0" w:after="0" w:afterAutospacing="0"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2022年，花溪区税务局及时公开法定主动公开信息，积极完善信息公开机制，但同时还有许多可以改进的地方：</w:t>
      </w:r>
    </w:p>
    <w:p w:rsidR="00F73B4B" w:rsidRDefault="00F73B4B" w:rsidP="00F73B4B">
      <w:pPr>
        <w:pStyle w:val="a3"/>
        <w:widowControl/>
        <w:numPr>
          <w:ilvl w:val="0"/>
          <w:numId w:val="1"/>
        </w:numPr>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政府信息公开相关人员培养力度较弱，缺乏相关知识培训，</w:t>
      </w:r>
      <w:proofErr w:type="gramStart"/>
      <w:r>
        <w:rPr>
          <w:rFonts w:ascii="仿宋_GB2312" w:eastAsia="仿宋_GB2312" w:hAnsi="仿宋_GB2312" w:cs="仿宋_GB2312" w:hint="eastAsia"/>
          <w:color w:val="333333"/>
          <w:sz w:val="32"/>
          <w:szCs w:val="32"/>
          <w:shd w:val="clear" w:color="auto" w:fill="FFFFFF"/>
        </w:rPr>
        <w:t>且信息</w:t>
      </w:r>
      <w:proofErr w:type="gramEnd"/>
      <w:r>
        <w:rPr>
          <w:rFonts w:ascii="仿宋_GB2312" w:eastAsia="仿宋_GB2312" w:hAnsi="仿宋_GB2312" w:cs="仿宋_GB2312" w:hint="eastAsia"/>
          <w:color w:val="333333"/>
          <w:sz w:val="32"/>
          <w:szCs w:val="32"/>
          <w:shd w:val="clear" w:color="auto" w:fill="FFFFFF"/>
        </w:rPr>
        <w:t>公开工作由专人负责，未能实现工作AB角转换机制。</w:t>
      </w:r>
    </w:p>
    <w:p w:rsidR="00F73B4B" w:rsidRDefault="00F73B4B" w:rsidP="00F73B4B">
      <w:pPr>
        <w:pStyle w:val="a3"/>
        <w:widowControl/>
        <w:numPr>
          <w:ilvl w:val="0"/>
          <w:numId w:val="1"/>
        </w:numPr>
        <w:spacing w:before="0" w:beforeAutospacing="0" w:after="0" w:afterAutospacing="0"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花溪区税务局属于区县级税务局，未设立自己的对外发布官方网站、</w:t>
      </w:r>
      <w:proofErr w:type="gramStart"/>
      <w:r>
        <w:rPr>
          <w:rFonts w:ascii="仿宋_GB2312" w:eastAsia="仿宋_GB2312" w:hAnsi="仿宋_GB2312" w:cs="仿宋_GB2312" w:hint="eastAsia"/>
          <w:color w:val="333333"/>
          <w:sz w:val="32"/>
          <w:szCs w:val="32"/>
          <w:shd w:val="clear" w:color="auto" w:fill="FFFFFF"/>
        </w:rPr>
        <w:t>微信公众号、微博号</w:t>
      </w:r>
      <w:proofErr w:type="gramEnd"/>
      <w:r>
        <w:rPr>
          <w:rFonts w:ascii="仿宋_GB2312" w:eastAsia="仿宋_GB2312" w:hAnsi="仿宋_GB2312" w:cs="仿宋_GB2312" w:hint="eastAsia"/>
          <w:color w:val="333333"/>
          <w:sz w:val="32"/>
          <w:szCs w:val="32"/>
          <w:shd w:val="clear" w:color="auto" w:fill="FFFFFF"/>
        </w:rPr>
        <w:t>等，政府信息公开内容主要依托区政府网站、办税服务大厅公示栏、上级税务机关门户网站和税企互动平台等渠道进行公开，自主创新力度较差。</w:t>
      </w:r>
    </w:p>
    <w:p w:rsidR="00F73B4B" w:rsidRDefault="00F73B4B" w:rsidP="00F73B4B">
      <w:pPr>
        <w:pStyle w:val="a3"/>
        <w:widowControl/>
        <w:spacing w:before="0" w:beforeAutospacing="0" w:after="0" w:afterAutospacing="0" w:line="56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下一步，我局将以加强人员培训为抓手，大力采取措施开展信息公开工作建设。通过向上级请示，联合花溪区其他部门或贵阳市其他区县级税务局，开展政府信息公开工作相关培训，提升工作人员政府信息公开知识素养和工作水平，同时扩大培养政府信息公开工作人才，建设工作队伍，完善工作机制。</w:t>
      </w:r>
    </w:p>
    <w:p w:rsidR="00F73B4B" w:rsidRDefault="00F73B4B" w:rsidP="00F73B4B">
      <w:pPr>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F73B4B" w:rsidRDefault="00F73B4B" w:rsidP="00F73B4B">
      <w:pPr>
        <w:ind w:firstLineChars="200" w:firstLine="640"/>
        <w:rPr>
          <w:rFonts w:ascii="楷体" w:eastAsia="楷体" w:hAnsi="楷体" w:cs="楷体"/>
          <w:sz w:val="32"/>
          <w:szCs w:val="32"/>
        </w:rPr>
      </w:pPr>
      <w:r>
        <w:rPr>
          <w:rFonts w:ascii="楷体" w:eastAsia="楷体" w:hAnsi="楷体" w:cs="楷体" w:hint="eastAsia"/>
          <w:sz w:val="32"/>
          <w:szCs w:val="32"/>
        </w:rPr>
        <w:t>（一）</w:t>
      </w:r>
      <w:proofErr w:type="gramStart"/>
      <w:r>
        <w:rPr>
          <w:rFonts w:ascii="楷体" w:eastAsia="楷体" w:hAnsi="楷体" w:cs="楷体" w:hint="eastAsia"/>
          <w:sz w:val="32"/>
          <w:szCs w:val="32"/>
        </w:rPr>
        <w:t>压实税惠政策</w:t>
      </w:r>
      <w:proofErr w:type="gramEnd"/>
      <w:r>
        <w:rPr>
          <w:rFonts w:ascii="楷体" w:eastAsia="楷体" w:hAnsi="楷体" w:cs="楷体" w:hint="eastAsia"/>
          <w:sz w:val="32"/>
          <w:szCs w:val="32"/>
        </w:rPr>
        <w:t>责任</w:t>
      </w:r>
      <w:r>
        <w:rPr>
          <w:rFonts w:ascii="楷体_GB2312" w:eastAsia="楷体_GB2312" w:hAnsi="楷体_GB2312" w:cs="楷体_GB2312" w:hint="eastAsia"/>
          <w:color w:val="333333"/>
          <w:sz w:val="32"/>
          <w:szCs w:val="32"/>
          <w:shd w:val="clear" w:color="auto" w:fill="FFFFFF"/>
        </w:rPr>
        <w:t>，</w:t>
      </w:r>
      <w:r>
        <w:rPr>
          <w:rFonts w:ascii="楷体" w:eastAsia="楷体" w:hAnsi="楷体" w:cs="楷体" w:hint="eastAsia"/>
          <w:sz w:val="32"/>
          <w:szCs w:val="32"/>
        </w:rPr>
        <w:t>推进组合式税费政策落实</w:t>
      </w:r>
    </w:p>
    <w:p w:rsidR="00F73B4B" w:rsidRDefault="00F73B4B" w:rsidP="00F73B4B">
      <w:pPr>
        <w:ind w:firstLineChars="200" w:firstLine="640"/>
        <w:rPr>
          <w:rFonts w:ascii="仿宋" w:eastAsia="仿宋" w:hAnsi="仿宋"/>
          <w:sz w:val="32"/>
          <w:szCs w:val="32"/>
        </w:rPr>
      </w:pPr>
      <w:r>
        <w:rPr>
          <w:rFonts w:ascii="仿宋_GB2312" w:eastAsia="仿宋_GB2312" w:hAnsi="仿宋_GB2312" w:cs="仿宋_GB2312" w:hint="eastAsia"/>
          <w:sz w:val="32"/>
          <w:szCs w:val="32"/>
        </w:rPr>
        <w:t>开展减税降费各项</w:t>
      </w:r>
      <w:r w:rsidR="009924F1">
        <w:rPr>
          <w:rFonts w:ascii="仿宋_GB2312" w:eastAsia="仿宋_GB2312" w:hAnsi="仿宋_GB2312" w:cs="仿宋_GB2312" w:hint="eastAsia"/>
          <w:sz w:val="32"/>
          <w:szCs w:val="32"/>
        </w:rPr>
        <w:t>税收</w:t>
      </w:r>
      <w:r>
        <w:rPr>
          <w:rFonts w:ascii="仿宋_GB2312" w:eastAsia="仿宋_GB2312" w:hAnsi="仿宋_GB2312" w:cs="仿宋_GB2312" w:hint="eastAsia"/>
          <w:sz w:val="32"/>
          <w:szCs w:val="32"/>
        </w:rPr>
        <w:t>政策宣传培训活动，协调开展组合式税费政策落实等各项减税降费税收优惠政策的宣传培训工作。2022年月至今，花溪区税务局共计开展集中33场</w:t>
      </w:r>
      <w:r>
        <w:rPr>
          <w:rFonts w:ascii="仿宋_GB2312" w:eastAsia="仿宋_GB2312" w:hAnsi="仿宋_GB2312" w:cs="仿宋_GB2312" w:hint="eastAsia"/>
          <w:sz w:val="32"/>
          <w:szCs w:val="32"/>
        </w:rPr>
        <w:lastRenderedPageBreak/>
        <w:t>次培训辅导</w:t>
      </w:r>
      <w:r>
        <w:rPr>
          <w:rFonts w:ascii="仿宋_GB2312" w:eastAsia="仿宋_GB2312" w:hAnsi="仿宋_GB2312" w:cs="仿宋_GB2312" w:hint="eastAsia"/>
          <w:color w:val="000000"/>
          <w:kern w:val="0"/>
          <w:sz w:val="32"/>
          <w:szCs w:val="32"/>
          <w:lang w:val="zh-CN"/>
        </w:rPr>
        <w:t>，其中税企互动平台直播培训</w:t>
      </w:r>
      <w:r>
        <w:rPr>
          <w:rFonts w:ascii="仿宋_GB2312" w:eastAsia="仿宋_GB2312" w:hAnsi="仿宋_GB2312" w:cs="仿宋_GB2312" w:hint="eastAsia"/>
          <w:color w:val="000000"/>
          <w:kern w:val="0"/>
          <w:sz w:val="32"/>
          <w:szCs w:val="32"/>
        </w:rPr>
        <w:t>24次，线下集中培训9次</w:t>
      </w:r>
      <w:r>
        <w:rPr>
          <w:rFonts w:ascii="仿宋_GB2312" w:eastAsia="仿宋_GB2312" w:hAnsi="仿宋_GB2312" w:cs="仿宋_GB2312" w:hint="eastAsia"/>
          <w:color w:val="000000"/>
          <w:kern w:val="0"/>
          <w:sz w:val="32"/>
          <w:szCs w:val="32"/>
          <w:lang w:val="zh-CN"/>
        </w:rPr>
        <w:t>，开展上门辅导、电话辅导、办税服务厅、QQ群、</w:t>
      </w:r>
      <w:proofErr w:type="gramStart"/>
      <w:r>
        <w:rPr>
          <w:rFonts w:ascii="仿宋_GB2312" w:eastAsia="仿宋_GB2312" w:hAnsi="仿宋_GB2312" w:cs="仿宋_GB2312" w:hint="eastAsia"/>
          <w:color w:val="000000"/>
          <w:kern w:val="0"/>
          <w:sz w:val="32"/>
          <w:szCs w:val="32"/>
          <w:lang w:val="zh-CN"/>
        </w:rPr>
        <w:t>微信群</w:t>
      </w:r>
      <w:proofErr w:type="gramEnd"/>
      <w:r>
        <w:rPr>
          <w:rFonts w:ascii="仿宋_GB2312" w:eastAsia="仿宋_GB2312" w:hAnsi="仿宋_GB2312" w:cs="仿宋_GB2312" w:hint="eastAsia"/>
          <w:color w:val="000000"/>
          <w:kern w:val="0"/>
          <w:sz w:val="32"/>
          <w:szCs w:val="32"/>
          <w:lang w:val="zh-CN"/>
        </w:rPr>
        <w:t>等方式辅导纳税人、宣传税收优惠政策，涉及纳税人</w:t>
      </w:r>
      <w:r>
        <w:rPr>
          <w:rFonts w:ascii="仿宋_GB2312" w:eastAsia="仿宋_GB2312" w:hAnsi="仿宋_GB2312" w:cs="仿宋_GB2312" w:hint="eastAsia"/>
          <w:color w:val="000000"/>
          <w:kern w:val="0"/>
          <w:sz w:val="32"/>
          <w:szCs w:val="32"/>
        </w:rPr>
        <w:t>22000</w:t>
      </w:r>
      <w:r>
        <w:rPr>
          <w:rFonts w:ascii="仿宋_GB2312" w:eastAsia="仿宋_GB2312" w:hAnsi="仿宋_GB2312" w:cs="仿宋_GB2312" w:hint="eastAsia"/>
          <w:color w:val="000000"/>
          <w:kern w:val="0"/>
          <w:sz w:val="32"/>
          <w:szCs w:val="32"/>
          <w:lang w:val="zh-CN"/>
        </w:rPr>
        <w:t>余人次，通过税企互动平台发送税收优惠政策及其他涉税信息</w:t>
      </w:r>
      <w:r>
        <w:rPr>
          <w:rFonts w:ascii="仿宋_GB2312" w:eastAsia="仿宋_GB2312" w:hAnsi="仿宋_GB2312" w:cs="仿宋_GB2312" w:hint="eastAsia"/>
          <w:color w:val="000000"/>
          <w:kern w:val="0"/>
          <w:sz w:val="32"/>
          <w:szCs w:val="32"/>
        </w:rPr>
        <w:t>140余条</w:t>
      </w:r>
      <w:r>
        <w:rPr>
          <w:rFonts w:ascii="仿宋_GB2312" w:eastAsia="仿宋_GB2312" w:hAnsi="仿宋_GB2312" w:cs="仿宋_GB2312" w:hint="eastAsia"/>
          <w:color w:val="000000"/>
          <w:kern w:val="0"/>
          <w:sz w:val="32"/>
          <w:szCs w:val="32"/>
          <w:lang w:val="zh-CN"/>
        </w:rPr>
        <w:t>，涉及区内纳税人</w:t>
      </w:r>
      <w:r>
        <w:rPr>
          <w:rFonts w:ascii="仿宋_GB2312" w:eastAsia="仿宋_GB2312" w:hAnsi="仿宋_GB2312" w:cs="仿宋_GB2312" w:hint="eastAsia"/>
          <w:color w:val="000000"/>
          <w:kern w:val="0"/>
          <w:sz w:val="32"/>
          <w:szCs w:val="32"/>
        </w:rPr>
        <w:t>20000</w:t>
      </w:r>
      <w:r>
        <w:rPr>
          <w:rFonts w:ascii="仿宋_GB2312" w:eastAsia="仿宋_GB2312" w:hAnsi="仿宋_GB2312" w:cs="仿宋_GB2312" w:hint="eastAsia"/>
          <w:color w:val="000000"/>
          <w:kern w:val="0"/>
          <w:sz w:val="32"/>
          <w:szCs w:val="32"/>
          <w:lang w:val="zh-CN"/>
        </w:rPr>
        <w:t>余户纳税人，完成税收政策宣传辅导100%全覆盖。组织开展办税大厅一线人员和税务管理工作人员培训，涉及人员</w:t>
      </w:r>
      <w:r>
        <w:rPr>
          <w:rFonts w:ascii="仿宋_GB2312" w:eastAsia="仿宋_GB2312" w:hAnsi="仿宋_GB2312" w:cs="仿宋_GB2312" w:hint="eastAsia"/>
          <w:color w:val="000000"/>
          <w:kern w:val="0"/>
          <w:sz w:val="32"/>
          <w:szCs w:val="32"/>
        </w:rPr>
        <w:t>830余</w:t>
      </w:r>
      <w:r>
        <w:rPr>
          <w:rFonts w:ascii="仿宋_GB2312" w:eastAsia="仿宋_GB2312" w:hAnsi="仿宋_GB2312" w:cs="仿宋_GB2312" w:hint="eastAsia"/>
          <w:color w:val="000000"/>
          <w:kern w:val="0"/>
          <w:sz w:val="32"/>
          <w:szCs w:val="32"/>
          <w:lang w:val="zh-CN"/>
        </w:rPr>
        <w:t>人次</w:t>
      </w:r>
      <w:r>
        <w:rPr>
          <w:rFonts w:ascii="仿宋_GB2312" w:eastAsia="仿宋_GB2312" w:hAnsi="仿宋_GB2312" w:cs="仿宋_GB2312" w:hint="eastAsia"/>
          <w:sz w:val="32"/>
          <w:szCs w:val="32"/>
        </w:rPr>
        <w:t xml:space="preserve">。 </w:t>
      </w:r>
    </w:p>
    <w:p w:rsidR="00F73B4B" w:rsidRDefault="00F73B4B" w:rsidP="00F73B4B">
      <w:pPr>
        <w:ind w:firstLineChars="200" w:firstLine="640"/>
        <w:rPr>
          <w:rFonts w:ascii="楷体" w:eastAsia="楷体" w:hAnsi="楷体" w:cs="楷体"/>
          <w:sz w:val="32"/>
          <w:szCs w:val="32"/>
        </w:rPr>
      </w:pPr>
      <w:r>
        <w:rPr>
          <w:rFonts w:ascii="楷体" w:eastAsia="楷体" w:hAnsi="楷体" w:cs="楷体" w:hint="eastAsia"/>
          <w:color w:val="333333"/>
          <w:sz w:val="32"/>
          <w:szCs w:val="32"/>
          <w:shd w:val="clear" w:color="auto" w:fill="FFFFFF"/>
        </w:rPr>
        <w:t>（二）围绕强化管理保障，</w:t>
      </w:r>
      <w:r>
        <w:rPr>
          <w:rFonts w:ascii="楷体" w:eastAsia="楷体" w:hAnsi="楷体" w:cs="楷体" w:hint="eastAsia"/>
          <w:sz w:val="32"/>
          <w:szCs w:val="32"/>
        </w:rPr>
        <w:t>开展税收宣传月宣传活动</w:t>
      </w:r>
    </w:p>
    <w:p w:rsidR="00F73B4B" w:rsidRDefault="00F73B4B" w:rsidP="00F73B4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为减轻疫情影响，确保宣传效果，</w:t>
      </w:r>
      <w:r>
        <w:rPr>
          <w:rFonts w:ascii="仿宋_GB2312" w:eastAsia="仿宋_GB2312" w:hAnsi="仿宋_GB2312" w:cs="仿宋_GB2312" w:hint="eastAsia"/>
          <w:snapToGrid w:val="0"/>
          <w:kern w:val="0"/>
          <w:sz w:val="32"/>
          <w:szCs w:val="32"/>
        </w:rPr>
        <w:t>选取税收宣传短片，开展“</w:t>
      </w:r>
      <w:r>
        <w:rPr>
          <w:rFonts w:ascii="仿宋_GB2312" w:eastAsia="仿宋_GB2312" w:hAnsi="仿宋_GB2312" w:cs="仿宋_GB2312" w:hint="eastAsia"/>
          <w:sz w:val="32"/>
          <w:szCs w:val="32"/>
        </w:rPr>
        <w:t>万屏联动 多媒体展播-税收公益广告”展播，落实组合式税费政策，搭乘便民春风快车，搭建便民春风活动平台，提升纳税人满意度，优化税收营商环境 。聚焦税收宣传月“税收优惠促发展，惠企利民向未来”宣传主题，为企业送上减税退税政策“大礼包”。以现场宣讲+</w:t>
      </w:r>
      <w:r w:rsidR="00AD6546">
        <w:rPr>
          <w:rFonts w:ascii="仿宋_GB2312" w:eastAsia="仿宋_GB2312" w:hAnsi="仿宋_GB2312" w:cs="仿宋_GB2312" w:hint="eastAsia"/>
          <w:sz w:val="32"/>
          <w:szCs w:val="32"/>
        </w:rPr>
        <w:t>网络直播的形式开展，落实涉税专业机构包保</w:t>
      </w:r>
      <w:bookmarkStart w:id="0" w:name="_GoBack"/>
      <w:bookmarkEnd w:id="0"/>
      <w:r>
        <w:rPr>
          <w:rFonts w:ascii="仿宋_GB2312" w:eastAsia="仿宋_GB2312" w:hAnsi="仿宋_GB2312" w:cs="仿宋_GB2312" w:hint="eastAsia"/>
          <w:sz w:val="32"/>
          <w:szCs w:val="32"/>
        </w:rPr>
        <w:t>到户机制，区局班子</w:t>
      </w:r>
      <w:proofErr w:type="gramStart"/>
      <w:r>
        <w:rPr>
          <w:rFonts w:ascii="仿宋_GB2312" w:eastAsia="仿宋_GB2312" w:hAnsi="仿宋_GB2312" w:cs="仿宋_GB2312" w:hint="eastAsia"/>
          <w:sz w:val="32"/>
          <w:szCs w:val="32"/>
        </w:rPr>
        <w:t>成员包报</w:t>
      </w:r>
      <w:proofErr w:type="gramEnd"/>
      <w:r>
        <w:rPr>
          <w:rFonts w:ascii="仿宋_GB2312" w:eastAsia="仿宋_GB2312" w:hAnsi="仿宋_GB2312" w:cs="仿宋_GB2312" w:hint="eastAsia"/>
          <w:sz w:val="32"/>
          <w:szCs w:val="32"/>
        </w:rPr>
        <w:t>1-2户社会专业服务机构，为涉税专业服务机构提供上门包保帮扶服务。</w:t>
      </w:r>
      <w:r>
        <w:rPr>
          <w:rFonts w:ascii="华文仿宋" w:eastAsia="华文仿宋" w:hAnsi="华文仿宋" w:cs="华文仿宋" w:hint="eastAsia"/>
          <w:sz w:val="32"/>
          <w:szCs w:val="32"/>
        </w:rPr>
        <w:t>开展“我为纳税人缴费人办实事暨便民办税春风行动”，精准了解纳税人缴费人所需所盼，组织开展了税费服务体验师活动。邀请税费服务体验师参与优化征管流程、优化服务措施、改进热线咨询等。</w:t>
      </w:r>
    </w:p>
    <w:p w:rsidR="00F73B4B" w:rsidRDefault="00F73B4B" w:rsidP="00F73B4B">
      <w:pPr>
        <w:numPr>
          <w:ilvl w:val="0"/>
          <w:numId w:val="1"/>
        </w:numPr>
        <w:ind w:firstLineChars="200" w:firstLine="640"/>
        <w:rPr>
          <w:rFonts w:ascii="楷体" w:eastAsia="楷体" w:hAnsi="楷体" w:cs="楷体"/>
          <w:bCs/>
          <w:sz w:val="32"/>
          <w:szCs w:val="32"/>
        </w:rPr>
      </w:pPr>
      <w:r>
        <w:rPr>
          <w:rFonts w:ascii="楷体" w:eastAsia="楷体" w:hAnsi="楷体" w:cs="楷体" w:hint="eastAsia"/>
          <w:bCs/>
          <w:sz w:val="32"/>
          <w:szCs w:val="32"/>
        </w:rPr>
        <w:t>落实税收便捷措施，积极推进便民办税春风行动</w:t>
      </w:r>
    </w:p>
    <w:p w:rsidR="00F73B4B" w:rsidRDefault="00F73B4B" w:rsidP="00F73B4B">
      <w:pPr>
        <w:ind w:firstLineChars="100" w:firstLine="321"/>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花溪区税务局积极开展便民春风行动，对照141条便民</w:t>
      </w:r>
      <w:r>
        <w:rPr>
          <w:rFonts w:ascii="仿宋" w:eastAsia="仿宋" w:hAnsi="仿宋" w:hint="eastAsia"/>
          <w:sz w:val="32"/>
          <w:szCs w:val="32"/>
        </w:rPr>
        <w:lastRenderedPageBreak/>
        <w:t>服务措施逐项落实，并每月将开展情况上报贵阳市税务局纳税服务科审核。切实落实减税降</w:t>
      </w:r>
      <w:proofErr w:type="gramStart"/>
      <w:r>
        <w:rPr>
          <w:rFonts w:ascii="仿宋" w:eastAsia="仿宋" w:hAnsi="仿宋" w:hint="eastAsia"/>
          <w:sz w:val="32"/>
          <w:szCs w:val="32"/>
        </w:rPr>
        <w:t>费税收</w:t>
      </w:r>
      <w:proofErr w:type="gramEnd"/>
      <w:r>
        <w:rPr>
          <w:rFonts w:ascii="仿宋" w:eastAsia="仿宋" w:hAnsi="仿宋" w:hint="eastAsia"/>
          <w:sz w:val="32"/>
          <w:szCs w:val="32"/>
        </w:rPr>
        <w:t>优惠政策，通过设立“小微企业咨询岗”“减税降费专窗”为纳税人解疑答惑，通过设置孟</w:t>
      </w:r>
      <w:proofErr w:type="gramStart"/>
      <w:r>
        <w:rPr>
          <w:rFonts w:ascii="仿宋" w:eastAsia="仿宋" w:hAnsi="仿宋" w:hint="eastAsia"/>
          <w:sz w:val="32"/>
          <w:szCs w:val="32"/>
        </w:rPr>
        <w:t>关车购税办税</w:t>
      </w:r>
      <w:proofErr w:type="gramEnd"/>
      <w:r>
        <w:rPr>
          <w:rFonts w:ascii="仿宋" w:eastAsia="仿宋" w:hAnsi="仿宋" w:hint="eastAsia"/>
          <w:sz w:val="32"/>
          <w:szCs w:val="32"/>
        </w:rPr>
        <w:t>服务厅、石板自助办税厅等专项网点，扩大专项服务范围。通过区局纳税服务咨询热线，线上线下开展税收宣传工作，通过</w:t>
      </w:r>
      <w:r>
        <w:rPr>
          <w:rFonts w:ascii="仿宋" w:eastAsia="仿宋" w:hAnsi="仿宋" w:hint="eastAsia"/>
          <w:snapToGrid w:val="0"/>
          <w:kern w:val="0"/>
          <w:sz w:val="32"/>
          <w:szCs w:val="32"/>
        </w:rPr>
        <w:t>开展面对面集中培训、点对点集中辅导、一对一重点培训等多样培训方式，开展税收优惠政策培训辅导，通过</w:t>
      </w:r>
      <w:proofErr w:type="gramStart"/>
      <w:r>
        <w:rPr>
          <w:rFonts w:ascii="仿宋" w:eastAsia="仿宋" w:hAnsi="仿宋" w:hint="eastAsia"/>
          <w:snapToGrid w:val="0"/>
          <w:kern w:val="0"/>
          <w:sz w:val="32"/>
          <w:szCs w:val="32"/>
        </w:rPr>
        <w:t>微信群</w:t>
      </w:r>
      <w:proofErr w:type="gramEnd"/>
      <w:r>
        <w:rPr>
          <w:rFonts w:ascii="仿宋" w:eastAsia="仿宋" w:hAnsi="仿宋" w:hint="eastAsia"/>
          <w:snapToGrid w:val="0"/>
          <w:kern w:val="0"/>
          <w:sz w:val="32"/>
          <w:szCs w:val="32"/>
        </w:rPr>
        <w:t>、QQ群、短信平台的等多种渠道为纳税人发送最新税收优惠政策。优化税收服务，</w:t>
      </w:r>
      <w:r>
        <w:rPr>
          <w:rFonts w:ascii="仿宋" w:eastAsia="仿宋" w:hAnsi="仿宋" w:cs="宋体" w:hint="eastAsia"/>
          <w:sz w:val="32"/>
          <w:szCs w:val="32"/>
        </w:rPr>
        <w:t>深入推进简政放权、放管结合、优化服务，减少税收行政许可审批事项。对纳税人开展预约服务和延时服务，税收服务工作</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打折。</w:t>
      </w:r>
      <w:proofErr w:type="gramStart"/>
      <w:r>
        <w:rPr>
          <w:rFonts w:ascii="仿宋" w:eastAsia="仿宋" w:hAnsi="仿宋" w:cs="宋体" w:hint="eastAsia"/>
          <w:sz w:val="32"/>
          <w:szCs w:val="32"/>
        </w:rPr>
        <w:t>切实响应</w:t>
      </w:r>
      <w:proofErr w:type="gramEnd"/>
      <w:r>
        <w:rPr>
          <w:rFonts w:ascii="仿宋" w:eastAsia="仿宋" w:hAnsi="仿宋" w:cs="宋体" w:hint="eastAsia"/>
          <w:sz w:val="32"/>
          <w:szCs w:val="32"/>
        </w:rPr>
        <w:t>纳税人需求，建立小</w:t>
      </w:r>
      <w:proofErr w:type="gramStart"/>
      <w:r>
        <w:rPr>
          <w:rFonts w:ascii="仿宋" w:eastAsia="仿宋" w:hAnsi="仿宋" w:cs="宋体" w:hint="eastAsia"/>
          <w:sz w:val="32"/>
          <w:szCs w:val="32"/>
        </w:rPr>
        <w:t>微企业</w:t>
      </w:r>
      <w:proofErr w:type="gramEnd"/>
      <w:r>
        <w:rPr>
          <w:rFonts w:ascii="仿宋" w:eastAsia="仿宋" w:hAnsi="仿宋" w:cs="宋体" w:hint="eastAsia"/>
          <w:sz w:val="32"/>
          <w:szCs w:val="32"/>
        </w:rPr>
        <w:t>纳税人诉求快速反应机制，多途径收集纳税人意见建议，及时为纳税人解决税收问题。提升税收工作，</w:t>
      </w:r>
      <w:r>
        <w:rPr>
          <w:rFonts w:ascii="仿宋" w:eastAsia="仿宋" w:hAnsi="仿宋" w:hint="eastAsia"/>
          <w:sz w:val="32"/>
          <w:szCs w:val="32"/>
        </w:rPr>
        <w:t>加强</w:t>
      </w:r>
      <w:r>
        <w:rPr>
          <w:rFonts w:ascii="仿宋" w:eastAsia="仿宋" w:hAnsi="仿宋" w:cs="宋体" w:hint="eastAsia"/>
          <w:sz w:val="32"/>
          <w:szCs w:val="32"/>
        </w:rPr>
        <w:t>233项非接触式办理事项的</w:t>
      </w:r>
      <w:r>
        <w:rPr>
          <w:rFonts w:ascii="仿宋" w:eastAsia="仿宋" w:hAnsi="仿宋" w:hint="eastAsia"/>
          <w:sz w:val="32"/>
          <w:szCs w:val="32"/>
        </w:rPr>
        <w:t>培训，确保“最多跑一次”落实到位。</w:t>
      </w:r>
    </w:p>
    <w:p w:rsidR="00F73B4B" w:rsidRDefault="00F73B4B" w:rsidP="00F73B4B">
      <w:pPr>
        <w:pStyle w:val="3"/>
        <w:rPr>
          <w:rFonts w:ascii="仿宋" w:eastAsia="仿宋" w:hAnsi="仿宋"/>
          <w:sz w:val="32"/>
          <w:szCs w:val="32"/>
        </w:rPr>
      </w:pPr>
    </w:p>
    <w:p w:rsidR="00F73B4B" w:rsidRDefault="00F73B4B" w:rsidP="00F73B4B">
      <w:pPr>
        <w:pStyle w:val="3"/>
        <w:rPr>
          <w:rFonts w:ascii="仿宋" w:eastAsia="仿宋" w:hAnsi="仿宋"/>
          <w:sz w:val="32"/>
          <w:szCs w:val="32"/>
        </w:rPr>
      </w:pPr>
    </w:p>
    <w:p w:rsidR="00F73B4B" w:rsidRDefault="00F73B4B" w:rsidP="00F73B4B">
      <w:pPr>
        <w:pStyle w:val="3"/>
        <w:rPr>
          <w:rFonts w:ascii="仿宋" w:eastAsia="仿宋" w:hAnsi="仿宋"/>
          <w:sz w:val="32"/>
          <w:szCs w:val="32"/>
        </w:rPr>
      </w:pPr>
      <w:r>
        <w:rPr>
          <w:rFonts w:ascii="仿宋" w:eastAsia="仿宋" w:hAnsi="仿宋" w:hint="eastAsia"/>
          <w:sz w:val="32"/>
          <w:szCs w:val="32"/>
        </w:rPr>
        <w:t xml:space="preserve">                    国家税务总局贵阳市花溪区税务局</w:t>
      </w:r>
    </w:p>
    <w:p w:rsidR="00F73B4B" w:rsidRDefault="00F73B4B" w:rsidP="00F73B4B">
      <w:pPr>
        <w:pStyle w:val="3"/>
        <w:rPr>
          <w:rFonts w:ascii="仿宋" w:eastAsia="仿宋" w:hAnsi="仿宋"/>
          <w:sz w:val="32"/>
          <w:szCs w:val="32"/>
        </w:rPr>
      </w:pPr>
      <w:r>
        <w:rPr>
          <w:rFonts w:ascii="仿宋" w:eastAsia="仿宋" w:hAnsi="仿宋" w:hint="eastAsia"/>
          <w:sz w:val="32"/>
          <w:szCs w:val="32"/>
        </w:rPr>
        <w:t xml:space="preserve">                              2023年01月10日</w:t>
      </w:r>
    </w:p>
    <w:p w:rsidR="00F73B4B" w:rsidRDefault="00F73B4B" w:rsidP="00F73B4B">
      <w:pPr>
        <w:pStyle w:val="3"/>
      </w:pPr>
    </w:p>
    <w:p w:rsidR="00F73B4B" w:rsidRDefault="00F73B4B" w:rsidP="00F73B4B">
      <w:pPr>
        <w:ind w:leftChars="200" w:left="420"/>
        <w:rPr>
          <w:sz w:val="32"/>
          <w:szCs w:val="32"/>
        </w:rPr>
      </w:pPr>
    </w:p>
    <w:p w:rsidR="00F73B4B" w:rsidRDefault="00F73B4B" w:rsidP="00F73B4B">
      <w:pPr>
        <w:rPr>
          <w:sz w:val="32"/>
          <w:szCs w:val="32"/>
        </w:rPr>
      </w:pPr>
    </w:p>
    <w:p w:rsidR="002C49E8" w:rsidRDefault="002C49E8"/>
    <w:sectPr w:rsidR="002C49E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7A8E"/>
    <w:multiLevelType w:val="singleLevel"/>
    <w:tmpl w:val="47557A8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62"/>
    <w:rsid w:val="002112F6"/>
    <w:rsid w:val="002C49E8"/>
    <w:rsid w:val="00631262"/>
    <w:rsid w:val="009924F1"/>
    <w:rsid w:val="00AD6546"/>
    <w:rsid w:val="00F7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73B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F73B4B"/>
    <w:rPr>
      <w:sz w:val="16"/>
    </w:rPr>
  </w:style>
  <w:style w:type="character" w:customStyle="1" w:styleId="3Char">
    <w:name w:val="正文文本 3 Char"/>
    <w:basedOn w:val="a0"/>
    <w:link w:val="3"/>
    <w:rsid w:val="00F73B4B"/>
    <w:rPr>
      <w:rFonts w:ascii="Calibri" w:eastAsia="宋体" w:hAnsi="Calibri" w:cs="Times New Roman"/>
      <w:sz w:val="16"/>
      <w:szCs w:val="24"/>
    </w:rPr>
  </w:style>
  <w:style w:type="paragraph" w:styleId="a3">
    <w:name w:val="Normal (Web)"/>
    <w:basedOn w:val="a"/>
    <w:qFormat/>
    <w:rsid w:val="00F73B4B"/>
    <w:pPr>
      <w:spacing w:before="100" w:beforeAutospacing="1" w:after="100" w:afterAutospacing="1"/>
      <w:jc w:val="left"/>
    </w:pPr>
    <w:rPr>
      <w:kern w:val="0"/>
      <w:sz w:val="24"/>
    </w:rPr>
  </w:style>
  <w:style w:type="table" w:styleId="a4">
    <w:name w:val="Table Grid"/>
    <w:basedOn w:val="a1"/>
    <w:qFormat/>
    <w:rsid w:val="00F73B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73B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F73B4B"/>
    <w:rPr>
      <w:sz w:val="16"/>
    </w:rPr>
  </w:style>
  <w:style w:type="character" w:customStyle="1" w:styleId="3Char">
    <w:name w:val="正文文本 3 Char"/>
    <w:basedOn w:val="a0"/>
    <w:link w:val="3"/>
    <w:rsid w:val="00F73B4B"/>
    <w:rPr>
      <w:rFonts w:ascii="Calibri" w:eastAsia="宋体" w:hAnsi="Calibri" w:cs="Times New Roman"/>
      <w:sz w:val="16"/>
      <w:szCs w:val="24"/>
    </w:rPr>
  </w:style>
  <w:style w:type="paragraph" w:styleId="a3">
    <w:name w:val="Normal (Web)"/>
    <w:basedOn w:val="a"/>
    <w:qFormat/>
    <w:rsid w:val="00F73B4B"/>
    <w:pPr>
      <w:spacing w:before="100" w:beforeAutospacing="1" w:after="100" w:afterAutospacing="1"/>
      <w:jc w:val="left"/>
    </w:pPr>
    <w:rPr>
      <w:kern w:val="0"/>
      <w:sz w:val="24"/>
    </w:rPr>
  </w:style>
  <w:style w:type="table" w:styleId="a4">
    <w:name w:val="Table Grid"/>
    <w:basedOn w:val="a1"/>
    <w:qFormat/>
    <w:rsid w:val="00F73B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579</Words>
  <Characters>3301</Characters>
  <Application>Microsoft Office Word</Application>
  <DocSecurity>0</DocSecurity>
  <Lines>27</Lines>
  <Paragraphs>7</Paragraphs>
  <ScaleCrop>false</ScaleCrop>
  <Company>Users</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2023-02-06T08:40:00Z</dcterms:created>
  <dcterms:modified xsi:type="dcterms:W3CDTF">2023-03-07T07:40:00Z</dcterms:modified>
</cp:coreProperties>
</file>