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25E5" w:rsidRDefault="00BA5164">
      <w:pPr>
        <w:widowControl/>
        <w:spacing w:line="560" w:lineRule="exact"/>
        <w:jc w:val="center"/>
        <w:rPr>
          <w:rStyle w:val="dhgao"/>
          <w:rFonts w:ascii="方正小标宋简体" w:eastAsia="方正小标宋简体" w:hAnsi="微软雅黑"/>
          <w:color w:val="323534"/>
          <w:sz w:val="44"/>
          <w:szCs w:val="44"/>
        </w:rPr>
      </w:pPr>
      <w:r>
        <w:rPr>
          <w:rStyle w:val="dhgao"/>
          <w:rFonts w:ascii="方正小标宋简体" w:eastAsia="方正小标宋简体" w:hAnsi="微软雅黑" w:hint="eastAsia"/>
          <w:color w:val="323534"/>
          <w:sz w:val="44"/>
          <w:szCs w:val="44"/>
        </w:rPr>
        <w:t>国家税务总局贵阳国家高新技术产业</w:t>
      </w:r>
    </w:p>
    <w:p w:rsidR="004D25E5" w:rsidRDefault="00BA5164">
      <w:pPr>
        <w:widowControl/>
        <w:spacing w:line="560" w:lineRule="exact"/>
        <w:jc w:val="center"/>
        <w:rPr>
          <w:rStyle w:val="dhgao"/>
          <w:rFonts w:ascii="方正小标宋简体" w:eastAsia="方正小标宋简体" w:hAnsi="微软雅黑"/>
          <w:color w:val="323534"/>
          <w:sz w:val="44"/>
          <w:szCs w:val="44"/>
        </w:rPr>
      </w:pPr>
      <w:r>
        <w:rPr>
          <w:rStyle w:val="dhgao"/>
          <w:rFonts w:ascii="方正小标宋简体" w:eastAsia="方正小标宋简体" w:hAnsi="微软雅黑" w:hint="eastAsia"/>
          <w:color w:val="323534"/>
          <w:sz w:val="44"/>
          <w:szCs w:val="44"/>
        </w:rPr>
        <w:t>开发区税务局2022年政府信息公开工作</w:t>
      </w:r>
    </w:p>
    <w:p w:rsidR="004D25E5" w:rsidRDefault="00BA5164">
      <w:pPr>
        <w:widowControl/>
        <w:spacing w:line="560" w:lineRule="exact"/>
        <w:jc w:val="center"/>
        <w:rPr>
          <w:rFonts w:ascii="方正小标宋简体" w:eastAsia="方正小标宋简体" w:hAnsi="微软雅黑"/>
          <w:color w:val="323534"/>
          <w:sz w:val="44"/>
          <w:szCs w:val="44"/>
        </w:rPr>
      </w:pPr>
      <w:r>
        <w:rPr>
          <w:rStyle w:val="dhgao"/>
          <w:rFonts w:ascii="方正小标宋简体" w:eastAsia="方正小标宋简体" w:hAnsi="微软雅黑" w:hint="eastAsia"/>
          <w:color w:val="323534"/>
          <w:sz w:val="44"/>
          <w:szCs w:val="44"/>
        </w:rPr>
        <w:t>年度报告</w:t>
      </w:r>
    </w:p>
    <w:p w:rsidR="004D25E5" w:rsidRDefault="004D25E5">
      <w:pPr>
        <w:pStyle w:val="1"/>
        <w:spacing w:line="560" w:lineRule="exact"/>
        <w:ind w:firstLineChars="0" w:firstLine="0"/>
        <w:rPr>
          <w:rFonts w:ascii="仿宋_GB2312" w:eastAsia="仿宋_GB2312" w:hAnsi="宋体" w:cs="宋体"/>
        </w:rPr>
      </w:pPr>
    </w:p>
    <w:p w:rsidR="004D25E5" w:rsidRDefault="00BA5164">
      <w:pPr>
        <w:kinsoku w:val="0"/>
        <w:overflowPunct w:val="0"/>
        <w:topLinePunct/>
        <w:spacing w:line="560" w:lineRule="exact"/>
        <w:ind w:firstLineChars="200" w:firstLine="656"/>
        <w:rPr>
          <w:rFonts w:ascii="仿宋_GB2312"/>
          <w:szCs w:val="32"/>
        </w:rPr>
      </w:pPr>
      <w:r>
        <w:rPr>
          <w:rFonts w:ascii="仿宋_GB2312" w:hint="eastAsia"/>
          <w:spacing w:val="4"/>
          <w:szCs w:val="32"/>
        </w:rPr>
        <w:t>本报告根据《中华人民共和国政府信息公开条例》等要求编制。全文包括总体情况、主动公开、依申请公开、复议诉讼、存在的主要问题和改进措施以及其他需要报告的事项。报告中所列数据为国家税务总局贵阳国家高新技</w:t>
      </w:r>
      <w:r>
        <w:rPr>
          <w:rFonts w:ascii="仿宋_GB2312" w:hint="eastAsia"/>
          <w:szCs w:val="32"/>
        </w:rPr>
        <w:t>术产业开发区税务局2022年整年数据，统计期限自2022年1月1日起至2022年12月31日止。报告电子版可在国家税务总局贵州省税务局网站（https://guizhou.chinatax.gov.cn/）查阅。如有疑问请致电国家税务总局贵阳国家高新技术产业开发区税务局（联系电话：0851-84765030），竭诚欢迎您的关注支持和批评监督！</w:t>
      </w:r>
    </w:p>
    <w:p w:rsidR="004D25E5" w:rsidRDefault="00BA5164">
      <w:pPr>
        <w:pStyle w:val="1"/>
        <w:spacing w:line="560" w:lineRule="exact"/>
        <w:ind w:firstLine="640"/>
        <w:rPr>
          <w:rFonts w:ascii="黑体" w:eastAsia="黑体" w:hAnsi="黑体" w:cs="黑体"/>
          <w:color w:val="000000" w:themeColor="text1"/>
        </w:rPr>
      </w:pPr>
      <w:r>
        <w:rPr>
          <w:rFonts w:ascii="黑体" w:eastAsia="黑体" w:hAnsi="黑体" w:cs="黑体" w:hint="eastAsia"/>
          <w:color w:val="000000" w:themeColor="text1"/>
        </w:rPr>
        <w:t>一、总体情况</w:t>
      </w:r>
    </w:p>
    <w:p w:rsidR="004D25E5" w:rsidRDefault="00BA5164">
      <w:pPr>
        <w:pStyle w:val="1"/>
        <w:spacing w:line="560" w:lineRule="exact"/>
        <w:ind w:firstLine="640"/>
        <w:rPr>
          <w:rFonts w:ascii="仿宋_GB2312" w:eastAsia="仿宋_GB2312" w:hAnsi="宋体" w:cs="宋体"/>
          <w:color w:val="000000" w:themeColor="text1"/>
        </w:rPr>
      </w:pPr>
      <w:r>
        <w:rPr>
          <w:rFonts w:ascii="仿宋_GB2312" w:eastAsia="仿宋_GB2312" w:hAnsi="宋体" w:cs="宋体" w:hint="eastAsia"/>
          <w:color w:val="000000" w:themeColor="text1"/>
        </w:rPr>
        <w:t>2022年，国家税务总局贵阳国家高新技术产业开发区税务局以习近平新时代中国特色社会主义思想为指导，认真贯彻落实《中华人民共和国政府信息公开条例》和总局、省局、市局相关文件要求，扎实开展政府信息公开工作，及时回应社会关切，不断增强纳税人和缴费人的获得感、满意度。</w:t>
      </w:r>
    </w:p>
    <w:p w:rsidR="00C50E25" w:rsidRDefault="00C50E25" w:rsidP="00C50E25">
      <w:pPr>
        <w:pStyle w:val="1"/>
        <w:numPr>
          <w:ilvl w:val="0"/>
          <w:numId w:val="1"/>
        </w:numPr>
        <w:spacing w:line="560" w:lineRule="exact"/>
        <w:ind w:firstLineChars="0"/>
        <w:rPr>
          <w:rFonts w:ascii="楷体_GB2312" w:eastAsia="楷体_GB2312" w:hAnsi="楷体_GB2312" w:cs="楷体_GB2312"/>
          <w:snapToGrid w:val="0"/>
          <w:kern w:val="0"/>
          <w:szCs w:val="32"/>
        </w:rPr>
      </w:pPr>
      <w:r>
        <w:rPr>
          <w:rFonts w:ascii="楷体_GB2312" w:eastAsia="楷体_GB2312" w:hAnsi="楷体_GB2312" w:cs="楷体_GB2312" w:hint="eastAsia"/>
          <w:snapToGrid w:val="0"/>
          <w:kern w:val="0"/>
          <w:szCs w:val="32"/>
        </w:rPr>
        <w:t>主动公开</w:t>
      </w:r>
    </w:p>
    <w:p w:rsidR="004D25E5" w:rsidRDefault="00BA5164" w:rsidP="00C50E25">
      <w:pPr>
        <w:pStyle w:val="1"/>
        <w:spacing w:line="560" w:lineRule="exact"/>
        <w:ind w:firstLineChars="230" w:firstLine="739"/>
        <w:rPr>
          <w:rFonts w:ascii="仿宋_GB2312" w:eastAsia="仿宋_GB2312" w:hAnsi="仿宋_GB2312" w:cs="仿宋_GB2312"/>
          <w:snapToGrid w:val="0"/>
          <w:color w:val="000000" w:themeColor="text1"/>
          <w:kern w:val="0"/>
          <w:szCs w:val="32"/>
        </w:rPr>
      </w:pPr>
      <w:r>
        <w:rPr>
          <w:rFonts w:ascii="仿宋_GB2312" w:eastAsia="仿宋_GB2312" w:hAnsi="仿宋_GB2312" w:cs="仿宋_GB2312" w:hint="eastAsia"/>
          <w:b/>
          <w:snapToGrid w:val="0"/>
          <w:color w:val="000000" w:themeColor="text1"/>
          <w:kern w:val="0"/>
          <w:szCs w:val="32"/>
        </w:rPr>
        <w:t>一是</w:t>
      </w:r>
      <w:r>
        <w:rPr>
          <w:rFonts w:ascii="仿宋_GB2312" w:eastAsia="仿宋_GB2312" w:hAnsi="仿宋_GB2312" w:cs="仿宋_GB2312" w:hint="eastAsia"/>
          <w:color w:val="000000" w:themeColor="text1"/>
        </w:rPr>
        <w:t>根据国务院办公厅制定《税收管理领域基层政务公开标准指引》，</w:t>
      </w:r>
      <w:r>
        <w:rPr>
          <w:rFonts w:ascii="仿宋_GB2312" w:eastAsia="仿宋_GB2312" w:hAnsi="仿宋_GB2312" w:cs="仿宋_GB2312" w:hint="eastAsia"/>
          <w:snapToGrid w:val="0"/>
          <w:color w:val="000000" w:themeColor="text1"/>
          <w:kern w:val="0"/>
          <w:szCs w:val="32"/>
        </w:rPr>
        <w:t>逐一对照清单，明确了公开事项、公开内容、</w:t>
      </w:r>
      <w:r>
        <w:rPr>
          <w:rFonts w:ascii="仿宋_GB2312" w:eastAsia="仿宋_GB2312" w:hAnsi="仿宋_GB2312" w:cs="仿宋_GB2312" w:hint="eastAsia"/>
          <w:snapToGrid w:val="0"/>
          <w:color w:val="000000" w:themeColor="text1"/>
          <w:kern w:val="0"/>
          <w:szCs w:val="32"/>
        </w:rPr>
        <w:lastRenderedPageBreak/>
        <w:t>公开时限等，</w:t>
      </w:r>
      <w:r>
        <w:rPr>
          <w:rFonts w:ascii="仿宋_GB2312" w:eastAsia="仿宋_GB2312" w:hAnsi="仿宋_GB2312" w:cs="仿宋_GB2312" w:hint="eastAsia"/>
          <w:color w:val="000000" w:themeColor="text1"/>
          <w:szCs w:val="32"/>
        </w:rPr>
        <w:t>依托</w:t>
      </w:r>
      <w:r>
        <w:rPr>
          <w:rFonts w:ascii="仿宋_GB2312" w:eastAsia="仿宋_GB2312" w:hAnsi="仿宋_GB2312" w:cs="仿宋_GB2312" w:hint="eastAsia"/>
          <w:color w:val="000000" w:themeColor="text1"/>
        </w:rPr>
        <w:t>高新区管委门户网站</w:t>
      </w:r>
      <w:r>
        <w:rPr>
          <w:rFonts w:ascii="仿宋_GB2312" w:eastAsia="仿宋_GB2312" w:hAnsi="仿宋_GB2312" w:cs="仿宋_GB2312" w:hint="eastAsia"/>
          <w:color w:val="000000" w:themeColor="text1"/>
          <w:szCs w:val="32"/>
        </w:rPr>
        <w:t>，及时发布文件通知、公告、工作动态等</w:t>
      </w:r>
      <w:r>
        <w:rPr>
          <w:rFonts w:ascii="仿宋_GB2312" w:eastAsia="仿宋_GB2312" w:hAnsi="仿宋_GB2312" w:cs="仿宋_GB2312" w:hint="eastAsia"/>
          <w:color w:val="000000" w:themeColor="text1"/>
        </w:rPr>
        <w:t>。</w:t>
      </w:r>
      <w:r>
        <w:rPr>
          <w:rFonts w:ascii="仿宋_GB2312" w:eastAsia="仿宋_GB2312" w:hAnsi="仿宋_GB2312" w:cs="仿宋_GB2312" w:hint="eastAsia"/>
          <w:snapToGrid w:val="0"/>
          <w:color w:val="000000" w:themeColor="text1"/>
          <w:kern w:val="0"/>
          <w:szCs w:val="32"/>
        </w:rPr>
        <w:t>2022年，区局通过高新区管委门户网站公开税收处罚案例、便民办税春风行动实施方案、工作动态等信息86次。</w:t>
      </w:r>
      <w:r>
        <w:rPr>
          <w:rFonts w:ascii="仿宋_GB2312" w:eastAsia="仿宋_GB2312" w:hAnsi="仿宋_GB2312" w:cs="仿宋_GB2312" w:hint="eastAsia"/>
          <w:b/>
          <w:snapToGrid w:val="0"/>
          <w:color w:val="000000" w:themeColor="text1"/>
          <w:kern w:val="0"/>
          <w:szCs w:val="32"/>
        </w:rPr>
        <w:t>二是</w:t>
      </w:r>
      <w:r>
        <w:rPr>
          <w:rFonts w:ascii="仿宋_GB2312" w:eastAsia="仿宋_GB2312" w:hAnsi="仿宋_GB2312" w:cs="仿宋_GB2312" w:hint="eastAsia"/>
          <w:snapToGrid w:val="0"/>
          <w:color w:val="000000" w:themeColor="text1"/>
          <w:kern w:val="0"/>
          <w:szCs w:val="32"/>
        </w:rPr>
        <w:t>全力做好税收政策宣传辅导。</w:t>
      </w:r>
      <w:r>
        <w:rPr>
          <w:rFonts w:ascii="仿宋_GB2312" w:eastAsia="仿宋_GB2312" w:hAnsi="仿宋_GB2312" w:cs="仿宋_GB2312" w:hint="eastAsia"/>
          <w:color w:val="000000" w:themeColor="text1"/>
        </w:rPr>
        <w:t>2022年，</w:t>
      </w:r>
      <w:r>
        <w:rPr>
          <w:rFonts w:ascii="仿宋_GB2312" w:eastAsia="仿宋_GB2312" w:hAnsi="仿宋_GB2312" w:cs="仿宋_GB2312" w:hint="eastAsia"/>
          <w:snapToGrid w:val="0"/>
          <w:color w:val="000000" w:themeColor="text1"/>
          <w:kern w:val="0"/>
          <w:szCs w:val="32"/>
          <w:lang w:val="zh-CN"/>
        </w:rPr>
        <w:t>开展</w:t>
      </w:r>
      <w:r>
        <w:rPr>
          <w:rFonts w:ascii="仿宋_GB2312" w:eastAsia="仿宋_GB2312" w:hAnsi="仿宋_GB2312" w:cs="仿宋_GB2312" w:hint="eastAsia"/>
          <w:color w:val="000000" w:themeColor="text1"/>
          <w:kern w:val="0"/>
          <w:szCs w:val="32"/>
        </w:rPr>
        <w:t>税企互动平台直播课堂14场2823人次；面对辖区纳税人通过税企互动平台推送政策122条、微信推送政策27条、短信推送政策19条；电话和面对面辅导纳税人855人次；现场培训6场116人次；发放宣传资料6164份。</w:t>
      </w:r>
    </w:p>
    <w:p w:rsidR="00C50E25" w:rsidRPr="00C50E25" w:rsidRDefault="00C50E25" w:rsidP="00C50E25">
      <w:pPr>
        <w:pStyle w:val="a8"/>
        <w:numPr>
          <w:ilvl w:val="0"/>
          <w:numId w:val="1"/>
        </w:numPr>
        <w:overflowPunct w:val="0"/>
        <w:autoSpaceDE w:val="0"/>
        <w:autoSpaceDN w:val="0"/>
        <w:adjustRightInd w:val="0"/>
        <w:snapToGrid w:val="0"/>
        <w:spacing w:line="560" w:lineRule="exact"/>
        <w:ind w:firstLineChars="0"/>
        <w:rPr>
          <w:rFonts w:ascii="楷体_GB2312" w:eastAsia="楷体_GB2312" w:hAnsi="楷体_GB2312" w:cs="楷体_GB2312"/>
          <w:snapToGrid w:val="0"/>
          <w:kern w:val="0"/>
          <w:szCs w:val="32"/>
        </w:rPr>
      </w:pPr>
      <w:r w:rsidRPr="00C50E25">
        <w:rPr>
          <w:rFonts w:ascii="楷体_GB2312" w:eastAsia="楷体_GB2312" w:hAnsi="楷体_GB2312" w:cs="楷体_GB2312" w:hint="eastAsia"/>
          <w:snapToGrid w:val="0"/>
          <w:kern w:val="0"/>
          <w:szCs w:val="32"/>
        </w:rPr>
        <w:t>依申请公开</w:t>
      </w:r>
    </w:p>
    <w:p w:rsidR="004D25E5" w:rsidRPr="00C50E25" w:rsidRDefault="00BA5164" w:rsidP="00C50E25">
      <w:pPr>
        <w:overflowPunct w:val="0"/>
        <w:autoSpaceDE w:val="0"/>
        <w:autoSpaceDN w:val="0"/>
        <w:adjustRightInd w:val="0"/>
        <w:snapToGrid w:val="0"/>
        <w:spacing w:line="560" w:lineRule="exact"/>
        <w:ind w:firstLineChars="200" w:firstLine="640"/>
        <w:rPr>
          <w:rFonts w:ascii="仿宋_GB2312"/>
          <w:snapToGrid w:val="0"/>
          <w:kern w:val="0"/>
          <w:szCs w:val="32"/>
        </w:rPr>
      </w:pPr>
      <w:r w:rsidRPr="00C50E25">
        <w:rPr>
          <w:rFonts w:ascii="宋体" w:hAnsi="宋体" w:hint="eastAsia"/>
          <w:snapToGrid w:val="0"/>
          <w:kern w:val="0"/>
          <w:szCs w:val="32"/>
        </w:rPr>
        <w:t>严格落实《税务机关政府信息公开申请办理规范》要求，组织培训学习相关内容，明确专人负责</w:t>
      </w:r>
      <w:r w:rsidRPr="00C50E25">
        <w:rPr>
          <w:rFonts w:ascii="仿宋_GB2312" w:hint="eastAsia"/>
          <w:snapToGrid w:val="0"/>
          <w:kern w:val="0"/>
          <w:szCs w:val="32"/>
        </w:rPr>
        <w:t>依申请公开申请有关事项，按流程认真受理申请人的合法申请，建立完善依申请公开申请登记台账，严格按照法定的程序和权限办理。区</w:t>
      </w:r>
      <w:r w:rsidRPr="00C50E25">
        <w:rPr>
          <w:rFonts w:ascii="仿宋_GB2312" w:hint="eastAsia"/>
          <w:snapToGrid w:val="0"/>
          <w:color w:val="000000"/>
          <w:kern w:val="0"/>
          <w:szCs w:val="32"/>
        </w:rPr>
        <w:t>局本年度未收到依申请公开申请。</w:t>
      </w:r>
    </w:p>
    <w:p w:rsidR="00C50E25" w:rsidRPr="00C50E25" w:rsidRDefault="00C50E25" w:rsidP="00C50E25">
      <w:pPr>
        <w:pStyle w:val="a8"/>
        <w:numPr>
          <w:ilvl w:val="0"/>
          <w:numId w:val="1"/>
        </w:numPr>
        <w:tabs>
          <w:tab w:val="left" w:pos="420"/>
          <w:tab w:val="left" w:pos="9240"/>
        </w:tabs>
        <w:overflowPunct w:val="0"/>
        <w:autoSpaceDE w:val="0"/>
        <w:autoSpaceDN w:val="0"/>
        <w:adjustRightInd w:val="0"/>
        <w:snapToGrid w:val="0"/>
        <w:spacing w:line="560" w:lineRule="exact"/>
        <w:ind w:firstLineChars="0"/>
        <w:rPr>
          <w:rFonts w:ascii="楷体_GB2312" w:eastAsia="楷体_GB2312" w:hAnsi="宋体"/>
          <w:snapToGrid w:val="0"/>
          <w:kern w:val="0"/>
          <w:szCs w:val="32"/>
        </w:rPr>
      </w:pPr>
      <w:r w:rsidRPr="00C50E25">
        <w:rPr>
          <w:rFonts w:ascii="楷体_GB2312" w:eastAsia="楷体_GB2312" w:hAnsi="宋体" w:hint="eastAsia"/>
          <w:snapToGrid w:val="0"/>
          <w:kern w:val="0"/>
          <w:szCs w:val="32"/>
        </w:rPr>
        <w:t>政府信息管理</w:t>
      </w:r>
    </w:p>
    <w:p w:rsidR="004D25E5" w:rsidRPr="00C50E25" w:rsidRDefault="00BA5164" w:rsidP="00C50E25">
      <w:pPr>
        <w:tabs>
          <w:tab w:val="left" w:pos="420"/>
          <w:tab w:val="left" w:pos="9240"/>
        </w:tabs>
        <w:overflowPunct w:val="0"/>
        <w:autoSpaceDE w:val="0"/>
        <w:autoSpaceDN w:val="0"/>
        <w:adjustRightInd w:val="0"/>
        <w:snapToGrid w:val="0"/>
        <w:spacing w:line="560" w:lineRule="exact"/>
        <w:ind w:firstLineChars="200" w:firstLine="640"/>
        <w:rPr>
          <w:rFonts w:ascii="宋体" w:hAnsi="宋体"/>
          <w:snapToGrid w:val="0"/>
          <w:kern w:val="0"/>
          <w:szCs w:val="32"/>
        </w:rPr>
      </w:pPr>
      <w:r w:rsidRPr="00C50E25">
        <w:rPr>
          <w:rFonts w:ascii="宋体" w:hAnsi="宋体" w:hint="eastAsia"/>
          <w:snapToGrid w:val="0"/>
          <w:kern w:val="0"/>
          <w:szCs w:val="32"/>
        </w:rPr>
        <w:t>完善信息公开保密审查制度，遵循“一事一审”原则，规范发布流程，</w:t>
      </w:r>
      <w:r w:rsidRPr="00C50E25">
        <w:rPr>
          <w:rFonts w:ascii="宋体" w:hAnsi="宋体"/>
          <w:snapToGrid w:val="0"/>
          <w:kern w:val="0"/>
          <w:szCs w:val="32"/>
        </w:rPr>
        <w:t>建立</w:t>
      </w:r>
      <w:r w:rsidRPr="00C50E25">
        <w:rPr>
          <w:rFonts w:ascii="宋体" w:hAnsi="宋体" w:hint="eastAsia"/>
          <w:snapToGrid w:val="0"/>
          <w:kern w:val="0"/>
          <w:szCs w:val="32"/>
        </w:rPr>
        <w:t>公开</w:t>
      </w:r>
      <w:r w:rsidRPr="00C50E25">
        <w:rPr>
          <w:rFonts w:ascii="宋体" w:hAnsi="宋体"/>
          <w:snapToGrid w:val="0"/>
          <w:kern w:val="0"/>
          <w:szCs w:val="32"/>
        </w:rPr>
        <w:t>台账</w:t>
      </w:r>
      <w:r w:rsidRPr="00C50E25">
        <w:rPr>
          <w:rFonts w:ascii="宋体" w:hAnsi="宋体" w:hint="eastAsia"/>
          <w:snapToGrid w:val="0"/>
          <w:kern w:val="0"/>
          <w:szCs w:val="32"/>
        </w:rPr>
        <w:t>，严格把关政府信息公开审核，确保政府信息的严谨性和准确性</w:t>
      </w:r>
      <w:r w:rsidRPr="00C50E25">
        <w:rPr>
          <w:rFonts w:ascii="宋体" w:hAnsi="宋体"/>
          <w:snapToGrid w:val="0"/>
          <w:kern w:val="0"/>
          <w:szCs w:val="32"/>
        </w:rPr>
        <w:t>。</w:t>
      </w:r>
    </w:p>
    <w:p w:rsidR="00C50E25" w:rsidRPr="00C50E25" w:rsidRDefault="00C50E25" w:rsidP="00C50E25">
      <w:pPr>
        <w:pStyle w:val="a8"/>
        <w:numPr>
          <w:ilvl w:val="0"/>
          <w:numId w:val="1"/>
        </w:numPr>
        <w:tabs>
          <w:tab w:val="left" w:pos="420"/>
          <w:tab w:val="left" w:pos="9240"/>
        </w:tabs>
        <w:overflowPunct w:val="0"/>
        <w:autoSpaceDE w:val="0"/>
        <w:autoSpaceDN w:val="0"/>
        <w:adjustRightInd w:val="0"/>
        <w:snapToGrid w:val="0"/>
        <w:spacing w:line="560" w:lineRule="exact"/>
        <w:ind w:firstLineChars="0"/>
        <w:rPr>
          <w:rFonts w:ascii="楷体_GB2312" w:eastAsia="楷体_GB2312" w:hAnsi="宋体"/>
          <w:snapToGrid w:val="0"/>
          <w:kern w:val="0"/>
          <w:szCs w:val="32"/>
        </w:rPr>
      </w:pPr>
      <w:r w:rsidRPr="00C50E25">
        <w:rPr>
          <w:rFonts w:ascii="楷体_GB2312" w:eastAsia="楷体_GB2312" w:hAnsi="宋体" w:hint="eastAsia"/>
          <w:snapToGrid w:val="0"/>
          <w:kern w:val="0"/>
          <w:szCs w:val="32"/>
        </w:rPr>
        <w:t>平台建设</w:t>
      </w:r>
    </w:p>
    <w:p w:rsidR="004D25E5" w:rsidRPr="00C50E25" w:rsidRDefault="00BA5164" w:rsidP="00C50E25">
      <w:pPr>
        <w:tabs>
          <w:tab w:val="left" w:pos="420"/>
          <w:tab w:val="left" w:pos="9240"/>
        </w:tabs>
        <w:overflowPunct w:val="0"/>
        <w:autoSpaceDE w:val="0"/>
        <w:autoSpaceDN w:val="0"/>
        <w:adjustRightInd w:val="0"/>
        <w:snapToGrid w:val="0"/>
        <w:spacing w:line="560" w:lineRule="exact"/>
        <w:ind w:firstLineChars="200" w:firstLine="640"/>
        <w:rPr>
          <w:rFonts w:ascii="仿宋_GB2312" w:hAnsi="仿宋_GB2312" w:cs="仿宋_GB2312"/>
          <w:snapToGrid w:val="0"/>
          <w:kern w:val="0"/>
          <w:szCs w:val="32"/>
        </w:rPr>
      </w:pPr>
      <w:r w:rsidRPr="00C50E25">
        <w:rPr>
          <w:rFonts w:ascii="仿宋_GB2312" w:hAnsi="仿宋_GB2312" w:cs="仿宋_GB2312" w:hint="eastAsia"/>
          <w:snapToGrid w:val="0"/>
          <w:kern w:val="0"/>
          <w:szCs w:val="32"/>
        </w:rPr>
        <w:t>在高新区政务大厅税务办公区域通过摆放宣传册、展板以及LED显示屏等，及时公开税收文件、办事指南、欠税公告等内容，切实保障纳税人缴费人知情权。</w:t>
      </w:r>
    </w:p>
    <w:p w:rsidR="00C50E25" w:rsidRPr="00C50E25" w:rsidRDefault="00C50E25" w:rsidP="00C50E25">
      <w:pPr>
        <w:pStyle w:val="a8"/>
        <w:numPr>
          <w:ilvl w:val="0"/>
          <w:numId w:val="1"/>
        </w:numPr>
        <w:overflowPunct w:val="0"/>
        <w:autoSpaceDE w:val="0"/>
        <w:autoSpaceDN w:val="0"/>
        <w:adjustRightInd w:val="0"/>
        <w:snapToGrid w:val="0"/>
        <w:spacing w:line="560" w:lineRule="exact"/>
        <w:ind w:firstLineChars="0"/>
        <w:rPr>
          <w:rFonts w:ascii="楷体_GB2312" w:eastAsia="楷体_GB2312" w:hAnsi="宋体"/>
          <w:snapToGrid w:val="0"/>
          <w:kern w:val="0"/>
          <w:szCs w:val="32"/>
        </w:rPr>
      </w:pPr>
      <w:r w:rsidRPr="00C50E25">
        <w:rPr>
          <w:rFonts w:ascii="楷体_GB2312" w:eastAsia="楷体_GB2312" w:hAnsi="宋体" w:hint="eastAsia"/>
          <w:snapToGrid w:val="0"/>
          <w:kern w:val="0"/>
          <w:szCs w:val="32"/>
        </w:rPr>
        <w:t>监督保障</w:t>
      </w:r>
    </w:p>
    <w:p w:rsidR="004D25E5" w:rsidRPr="00C50E25" w:rsidRDefault="00BA5164" w:rsidP="00C50E25">
      <w:pPr>
        <w:overflowPunct w:val="0"/>
        <w:autoSpaceDE w:val="0"/>
        <w:autoSpaceDN w:val="0"/>
        <w:adjustRightInd w:val="0"/>
        <w:snapToGrid w:val="0"/>
        <w:spacing w:line="560" w:lineRule="exact"/>
        <w:ind w:firstLineChars="246" w:firstLine="790"/>
        <w:rPr>
          <w:rFonts w:ascii="仿宋_GB2312" w:hAnsi="宋体" w:cs="宋体"/>
          <w:color w:val="000000" w:themeColor="text1"/>
        </w:rPr>
      </w:pPr>
      <w:r w:rsidRPr="00C50E25">
        <w:rPr>
          <w:rFonts w:ascii="仿宋_GB2312" w:hAnsi="宋体" w:hint="eastAsia"/>
          <w:b/>
          <w:snapToGrid w:val="0"/>
          <w:kern w:val="0"/>
          <w:szCs w:val="32"/>
        </w:rPr>
        <w:t>一是</w:t>
      </w:r>
      <w:r w:rsidRPr="00C50E25">
        <w:rPr>
          <w:rFonts w:ascii="宋体" w:hAnsi="宋体" w:hint="eastAsia"/>
          <w:snapToGrid w:val="0"/>
          <w:kern w:val="0"/>
          <w:szCs w:val="32"/>
        </w:rPr>
        <w:t>成立政府信息公开领导小组，统筹推进政府信</w:t>
      </w:r>
      <w:r w:rsidRPr="00C50E25">
        <w:rPr>
          <w:rFonts w:ascii="仿宋_GB2312" w:hAnsi="仿宋_GB2312" w:cs="仿宋_GB2312" w:hint="eastAsia"/>
          <w:snapToGrid w:val="0"/>
          <w:kern w:val="0"/>
          <w:szCs w:val="32"/>
        </w:rPr>
        <w:t>息</w:t>
      </w:r>
      <w:r w:rsidRPr="00C50E25">
        <w:rPr>
          <w:rFonts w:ascii="仿宋_GB2312" w:hAnsi="仿宋_GB2312" w:cs="仿宋_GB2312" w:hint="eastAsia"/>
          <w:snapToGrid w:val="0"/>
          <w:kern w:val="0"/>
          <w:szCs w:val="32"/>
        </w:rPr>
        <w:lastRenderedPageBreak/>
        <w:t>公开工作，定期召开会议，研究部署政务公开工作。</w:t>
      </w:r>
      <w:r w:rsidRPr="00C50E25">
        <w:rPr>
          <w:rFonts w:ascii="仿宋_GB2312" w:hAnsi="仿宋_GB2312" w:cs="仿宋_GB2312" w:hint="eastAsia"/>
          <w:b/>
          <w:bCs/>
          <w:snapToGrid w:val="0"/>
          <w:kern w:val="0"/>
          <w:szCs w:val="32"/>
        </w:rPr>
        <w:t>二是</w:t>
      </w:r>
      <w:r w:rsidRPr="00C50E25">
        <w:rPr>
          <w:rFonts w:ascii="仿宋_GB2312" w:hAnsi="仿宋_GB2312" w:cs="仿宋_GB2312" w:hint="eastAsia"/>
          <w:snapToGrid w:val="0"/>
          <w:kern w:val="0"/>
          <w:szCs w:val="32"/>
        </w:rPr>
        <w:t>把政务公开工作和保密管理纳入年度绩效考核，将政府信息公开考核结果作为干部任用的重要参考。</w:t>
      </w:r>
    </w:p>
    <w:p w:rsidR="004D25E5" w:rsidRDefault="00BA5164">
      <w:pPr>
        <w:spacing w:line="560" w:lineRule="exact"/>
        <w:ind w:firstLineChars="200" w:firstLine="640"/>
        <w:rPr>
          <w:rFonts w:ascii="黑体" w:eastAsia="黑体" w:hAnsi="黑体"/>
          <w:szCs w:val="32"/>
        </w:rPr>
      </w:pPr>
      <w:r>
        <w:rPr>
          <w:rFonts w:ascii="黑体" w:eastAsia="黑体" w:hAnsi="黑体" w:cs="黑体" w:hint="eastAsia"/>
          <w:szCs w:val="32"/>
        </w:rPr>
        <w:t>二、主动公开政府信息情况</w:t>
      </w:r>
    </w:p>
    <w:tbl>
      <w:tblPr>
        <w:tblW w:w="8284" w:type="dxa"/>
        <w:jc w:val="center"/>
        <w:tblLook w:val="04A0" w:firstRow="1" w:lastRow="0" w:firstColumn="1" w:lastColumn="0" w:noHBand="0" w:noVBand="1"/>
      </w:tblPr>
      <w:tblGrid>
        <w:gridCol w:w="2732"/>
        <w:gridCol w:w="1942"/>
        <w:gridCol w:w="1942"/>
        <w:gridCol w:w="1668"/>
      </w:tblGrid>
      <w:tr w:rsidR="004D25E5">
        <w:trPr>
          <w:trHeight w:val="352"/>
          <w:jc w:val="center"/>
        </w:trPr>
        <w:tc>
          <w:tcPr>
            <w:tcW w:w="8284" w:type="dxa"/>
            <w:gridSpan w:val="4"/>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4D25E5" w:rsidRDefault="00BA5164">
            <w:pPr>
              <w:widowControl/>
              <w:spacing w:line="560" w:lineRule="exact"/>
              <w:jc w:val="center"/>
              <w:rPr>
                <w:rFonts w:ascii="方正粗黑宋简体" w:eastAsia="方正粗黑宋简体" w:hAnsi="方正粗黑宋简体"/>
                <w:color w:val="000000"/>
                <w:kern w:val="0"/>
                <w:sz w:val="24"/>
                <w:szCs w:val="24"/>
              </w:rPr>
            </w:pPr>
            <w:r>
              <w:rPr>
                <w:rFonts w:ascii="仿宋_GB2312" w:hAnsi="仿宋_GB2312" w:cs="仿宋_GB2312" w:hint="eastAsia"/>
                <w:color w:val="000000"/>
                <w:kern w:val="0"/>
                <w:sz w:val="20"/>
                <w:szCs w:val="20"/>
              </w:rPr>
              <w:t>第二十条第（一）项</w:t>
            </w:r>
          </w:p>
        </w:tc>
      </w:tr>
      <w:tr w:rsidR="004D25E5">
        <w:trPr>
          <w:trHeight w:val="90"/>
          <w:jc w:val="center"/>
        </w:trPr>
        <w:tc>
          <w:tcPr>
            <w:tcW w:w="273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信息内容</w:t>
            </w:r>
          </w:p>
        </w:tc>
        <w:tc>
          <w:tcPr>
            <w:tcW w:w="19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本年制发件数</w:t>
            </w:r>
          </w:p>
        </w:tc>
        <w:tc>
          <w:tcPr>
            <w:tcW w:w="19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本年废止件数</w:t>
            </w:r>
          </w:p>
        </w:tc>
        <w:tc>
          <w:tcPr>
            <w:tcW w:w="166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现行有效件数</w:t>
            </w:r>
          </w:p>
        </w:tc>
      </w:tr>
      <w:tr w:rsidR="004D25E5">
        <w:trPr>
          <w:trHeight w:val="695"/>
          <w:jc w:val="center"/>
        </w:trPr>
        <w:tc>
          <w:tcPr>
            <w:tcW w:w="273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规章</w:t>
            </w:r>
          </w:p>
        </w:tc>
        <w:tc>
          <w:tcPr>
            <w:tcW w:w="19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p>
        </w:tc>
        <w:tc>
          <w:tcPr>
            <w:tcW w:w="19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p>
        </w:tc>
        <w:tc>
          <w:tcPr>
            <w:tcW w:w="166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p>
        </w:tc>
      </w:tr>
      <w:tr w:rsidR="004D25E5">
        <w:trPr>
          <w:trHeight w:val="610"/>
          <w:jc w:val="center"/>
        </w:trPr>
        <w:tc>
          <w:tcPr>
            <w:tcW w:w="273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行政规范性文件</w:t>
            </w:r>
          </w:p>
        </w:tc>
        <w:tc>
          <w:tcPr>
            <w:tcW w:w="19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p>
        </w:tc>
        <w:tc>
          <w:tcPr>
            <w:tcW w:w="19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p>
        </w:tc>
        <w:tc>
          <w:tcPr>
            <w:tcW w:w="166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p>
        </w:tc>
      </w:tr>
      <w:tr w:rsidR="004D25E5">
        <w:trPr>
          <w:trHeight w:val="575"/>
          <w:jc w:val="center"/>
        </w:trPr>
        <w:tc>
          <w:tcPr>
            <w:tcW w:w="8284" w:type="dxa"/>
            <w:gridSpan w:val="4"/>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4D25E5" w:rsidRDefault="00BA5164">
            <w:pPr>
              <w:widowControl/>
              <w:spacing w:line="560" w:lineRule="exact"/>
              <w:jc w:val="center"/>
              <w:rPr>
                <w:rFonts w:ascii="方正粗黑宋简体" w:eastAsia="方正粗黑宋简体" w:hAnsi="方正粗黑宋简体"/>
                <w:color w:val="000000"/>
                <w:kern w:val="0"/>
                <w:sz w:val="20"/>
                <w:szCs w:val="20"/>
              </w:rPr>
            </w:pPr>
            <w:r>
              <w:rPr>
                <w:rFonts w:ascii="仿宋_GB2312" w:hAnsi="仿宋_GB2312" w:cs="仿宋_GB2312" w:hint="eastAsia"/>
                <w:color w:val="000000"/>
                <w:kern w:val="0"/>
                <w:sz w:val="20"/>
                <w:szCs w:val="20"/>
              </w:rPr>
              <w:t>第二十条第（五）项</w:t>
            </w:r>
          </w:p>
        </w:tc>
      </w:tr>
      <w:tr w:rsidR="004D25E5">
        <w:trPr>
          <w:trHeight w:val="740"/>
          <w:jc w:val="center"/>
        </w:trPr>
        <w:tc>
          <w:tcPr>
            <w:tcW w:w="273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信息内容</w:t>
            </w:r>
          </w:p>
        </w:tc>
        <w:tc>
          <w:tcPr>
            <w:tcW w:w="5552" w:type="dxa"/>
            <w:gridSpan w:val="3"/>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本年处理决定数量</w:t>
            </w:r>
          </w:p>
        </w:tc>
      </w:tr>
      <w:tr w:rsidR="004D25E5">
        <w:trPr>
          <w:trHeight w:val="710"/>
          <w:jc w:val="center"/>
        </w:trPr>
        <w:tc>
          <w:tcPr>
            <w:tcW w:w="273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行政许可</w:t>
            </w:r>
          </w:p>
        </w:tc>
        <w:tc>
          <w:tcPr>
            <w:tcW w:w="5552" w:type="dxa"/>
            <w:gridSpan w:val="3"/>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hint="eastAsia"/>
                <w:color w:val="000000"/>
                <w:kern w:val="0"/>
                <w:sz w:val="20"/>
                <w:szCs w:val="20"/>
              </w:rPr>
              <w:t>1337</w:t>
            </w:r>
          </w:p>
        </w:tc>
      </w:tr>
      <w:tr w:rsidR="004D25E5">
        <w:trPr>
          <w:trHeight w:val="605"/>
          <w:jc w:val="center"/>
        </w:trPr>
        <w:tc>
          <w:tcPr>
            <w:tcW w:w="8284" w:type="dxa"/>
            <w:gridSpan w:val="4"/>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4D25E5" w:rsidRDefault="00BA5164">
            <w:pPr>
              <w:widowControl/>
              <w:spacing w:line="560" w:lineRule="exact"/>
              <w:jc w:val="center"/>
              <w:rPr>
                <w:rFonts w:ascii="方正粗黑宋简体" w:eastAsia="方正粗黑宋简体" w:hAnsi="方正粗黑宋简体"/>
                <w:color w:val="000000"/>
                <w:kern w:val="0"/>
                <w:sz w:val="20"/>
                <w:szCs w:val="20"/>
              </w:rPr>
            </w:pPr>
            <w:r>
              <w:rPr>
                <w:rFonts w:ascii="仿宋_GB2312" w:hAnsi="仿宋_GB2312" w:cs="仿宋_GB2312" w:hint="eastAsia"/>
                <w:color w:val="000000"/>
                <w:kern w:val="0"/>
                <w:sz w:val="20"/>
                <w:szCs w:val="20"/>
              </w:rPr>
              <w:t>第二十条第（六）项</w:t>
            </w:r>
          </w:p>
        </w:tc>
      </w:tr>
      <w:tr w:rsidR="004D25E5">
        <w:trPr>
          <w:trHeight w:val="620"/>
          <w:jc w:val="center"/>
        </w:trPr>
        <w:tc>
          <w:tcPr>
            <w:tcW w:w="273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信息内容</w:t>
            </w:r>
          </w:p>
        </w:tc>
        <w:tc>
          <w:tcPr>
            <w:tcW w:w="5552" w:type="dxa"/>
            <w:gridSpan w:val="3"/>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本年处理决定数量</w:t>
            </w:r>
          </w:p>
        </w:tc>
      </w:tr>
      <w:tr w:rsidR="004D25E5">
        <w:trPr>
          <w:trHeight w:val="475"/>
          <w:jc w:val="center"/>
        </w:trPr>
        <w:tc>
          <w:tcPr>
            <w:tcW w:w="273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行政处罚</w:t>
            </w:r>
          </w:p>
        </w:tc>
        <w:tc>
          <w:tcPr>
            <w:tcW w:w="5552" w:type="dxa"/>
            <w:gridSpan w:val="3"/>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hint="eastAsia"/>
                <w:color w:val="000000"/>
                <w:kern w:val="0"/>
                <w:sz w:val="20"/>
                <w:szCs w:val="20"/>
              </w:rPr>
              <w:t>1344</w:t>
            </w:r>
          </w:p>
        </w:tc>
      </w:tr>
      <w:tr w:rsidR="004D25E5">
        <w:trPr>
          <w:trHeight w:val="505"/>
          <w:jc w:val="center"/>
        </w:trPr>
        <w:tc>
          <w:tcPr>
            <w:tcW w:w="273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行政强制</w:t>
            </w:r>
          </w:p>
        </w:tc>
        <w:tc>
          <w:tcPr>
            <w:tcW w:w="5552" w:type="dxa"/>
            <w:gridSpan w:val="3"/>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hint="eastAsia"/>
                <w:color w:val="000000"/>
                <w:kern w:val="0"/>
                <w:sz w:val="20"/>
                <w:szCs w:val="20"/>
              </w:rPr>
              <w:t>0</w:t>
            </w:r>
          </w:p>
        </w:tc>
      </w:tr>
      <w:tr w:rsidR="004D25E5">
        <w:trPr>
          <w:trHeight w:val="530"/>
          <w:jc w:val="center"/>
        </w:trPr>
        <w:tc>
          <w:tcPr>
            <w:tcW w:w="8284" w:type="dxa"/>
            <w:gridSpan w:val="4"/>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rsidR="004D25E5" w:rsidRDefault="00BA5164">
            <w:pPr>
              <w:widowControl/>
              <w:spacing w:line="560" w:lineRule="exact"/>
              <w:jc w:val="center"/>
              <w:rPr>
                <w:rFonts w:ascii="方正粗黑宋简体" w:eastAsia="方正粗黑宋简体" w:hAnsi="方正粗黑宋简体"/>
                <w:color w:val="000000"/>
                <w:kern w:val="0"/>
                <w:sz w:val="20"/>
                <w:szCs w:val="20"/>
              </w:rPr>
            </w:pPr>
            <w:r>
              <w:rPr>
                <w:rFonts w:ascii="仿宋_GB2312" w:hAnsi="仿宋_GB2312" w:cs="仿宋_GB2312" w:hint="eastAsia"/>
                <w:color w:val="000000"/>
                <w:kern w:val="0"/>
                <w:sz w:val="20"/>
                <w:szCs w:val="20"/>
              </w:rPr>
              <w:t>第二十条第（八）项</w:t>
            </w:r>
          </w:p>
        </w:tc>
      </w:tr>
      <w:tr w:rsidR="004D25E5">
        <w:trPr>
          <w:trHeight w:val="505"/>
          <w:jc w:val="center"/>
        </w:trPr>
        <w:tc>
          <w:tcPr>
            <w:tcW w:w="273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信息内容</w:t>
            </w:r>
          </w:p>
        </w:tc>
        <w:tc>
          <w:tcPr>
            <w:tcW w:w="5552" w:type="dxa"/>
            <w:gridSpan w:val="3"/>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hint="eastAsia"/>
                <w:color w:val="000000"/>
                <w:kern w:val="0"/>
                <w:sz w:val="20"/>
                <w:szCs w:val="20"/>
              </w:rPr>
              <w:t>本年收费金额（单位：万元）</w:t>
            </w:r>
          </w:p>
        </w:tc>
      </w:tr>
      <w:tr w:rsidR="004D25E5">
        <w:trPr>
          <w:trHeight w:val="600"/>
          <w:jc w:val="center"/>
        </w:trPr>
        <w:tc>
          <w:tcPr>
            <w:tcW w:w="273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行政事业性收费</w:t>
            </w:r>
          </w:p>
        </w:tc>
        <w:tc>
          <w:tcPr>
            <w:tcW w:w="5552" w:type="dxa"/>
            <w:gridSpan w:val="3"/>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hint="eastAsia"/>
                <w:color w:val="000000"/>
                <w:kern w:val="0"/>
                <w:sz w:val="20"/>
                <w:szCs w:val="20"/>
              </w:rPr>
              <w:t>0</w:t>
            </w:r>
          </w:p>
        </w:tc>
      </w:tr>
    </w:tbl>
    <w:p w:rsidR="004D25E5" w:rsidRDefault="00BA5164">
      <w:pPr>
        <w:spacing w:line="560" w:lineRule="exact"/>
        <w:ind w:firstLineChars="200" w:firstLine="640"/>
        <w:rPr>
          <w:rFonts w:ascii="黑体" w:eastAsia="黑体" w:hAnsi="黑体"/>
          <w:szCs w:val="32"/>
        </w:rPr>
      </w:pPr>
      <w:r>
        <w:rPr>
          <w:rFonts w:ascii="黑体" w:eastAsia="黑体" w:hAnsi="黑体" w:cs="黑体" w:hint="eastAsia"/>
          <w:szCs w:val="32"/>
        </w:rPr>
        <w:t>三、收到和处理政府信息公开申请情况</w:t>
      </w:r>
    </w:p>
    <w:tbl>
      <w:tblPr>
        <w:tblW w:w="8300" w:type="dxa"/>
        <w:jc w:val="center"/>
        <w:tblLook w:val="04A0" w:firstRow="1" w:lastRow="0" w:firstColumn="1" w:lastColumn="0" w:noHBand="0" w:noVBand="1"/>
      </w:tblPr>
      <w:tblGrid>
        <w:gridCol w:w="656"/>
        <w:gridCol w:w="876"/>
        <w:gridCol w:w="1618"/>
        <w:gridCol w:w="678"/>
        <w:gridCol w:w="844"/>
        <w:gridCol w:w="843"/>
        <w:gridCol w:w="842"/>
        <w:gridCol w:w="843"/>
        <w:gridCol w:w="438"/>
        <w:gridCol w:w="662"/>
      </w:tblGrid>
      <w:tr w:rsidR="004D25E5">
        <w:trPr>
          <w:trHeight w:val="302"/>
          <w:jc w:val="center"/>
        </w:trPr>
        <w:tc>
          <w:tcPr>
            <w:tcW w:w="3150" w:type="dxa"/>
            <w:gridSpan w:val="3"/>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（本列数据的勾稽关系为：第一项加第二项之和，等于第三项加第四项之和）</w:t>
            </w:r>
          </w:p>
        </w:tc>
        <w:tc>
          <w:tcPr>
            <w:tcW w:w="5150" w:type="dxa"/>
            <w:gridSpan w:val="7"/>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申请人情况</w:t>
            </w:r>
          </w:p>
        </w:tc>
      </w:tr>
      <w:tr w:rsidR="004D25E5">
        <w:trPr>
          <w:trHeight w:val="287"/>
          <w:jc w:val="center"/>
        </w:trPr>
        <w:tc>
          <w:tcPr>
            <w:tcW w:w="3150" w:type="dxa"/>
            <w:gridSpan w:val="3"/>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678"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自然人</w:t>
            </w:r>
          </w:p>
        </w:tc>
        <w:tc>
          <w:tcPr>
            <w:tcW w:w="3810" w:type="dxa"/>
            <w:gridSpan w:val="5"/>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法人或其他组织</w:t>
            </w:r>
          </w:p>
        </w:tc>
        <w:tc>
          <w:tcPr>
            <w:tcW w:w="662"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总计</w:t>
            </w:r>
          </w:p>
        </w:tc>
      </w:tr>
      <w:tr w:rsidR="004D25E5">
        <w:trPr>
          <w:trHeight w:val="544"/>
          <w:jc w:val="center"/>
        </w:trPr>
        <w:tc>
          <w:tcPr>
            <w:tcW w:w="3150" w:type="dxa"/>
            <w:gridSpan w:val="3"/>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678"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商业企业</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科研机构</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社会公益组织</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法律服务机构</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其他</w:t>
            </w:r>
          </w:p>
        </w:tc>
        <w:tc>
          <w:tcPr>
            <w:tcW w:w="662"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r>
      <w:tr w:rsidR="004D25E5">
        <w:trPr>
          <w:trHeight w:val="287"/>
          <w:jc w:val="center"/>
        </w:trPr>
        <w:tc>
          <w:tcPr>
            <w:tcW w:w="3150" w:type="dxa"/>
            <w:gridSpan w:val="3"/>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lastRenderedPageBreak/>
              <w:t>一、本年新收政府信息公开申请数量</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r>
      <w:tr w:rsidR="004D25E5">
        <w:trPr>
          <w:trHeight w:val="287"/>
          <w:jc w:val="center"/>
        </w:trPr>
        <w:tc>
          <w:tcPr>
            <w:tcW w:w="3150" w:type="dxa"/>
            <w:gridSpan w:val="3"/>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二、上年结转政府信息公开申请数量</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9"/>
          <w:jc w:val="center"/>
        </w:trPr>
        <w:tc>
          <w:tcPr>
            <w:tcW w:w="656" w:type="dxa"/>
            <w:vMerge w:val="restart"/>
            <w:tcBorders>
              <w:top w:val="single" w:sz="4" w:space="0" w:color="auto"/>
              <w:left w:val="single" w:sz="4" w:space="0" w:color="auto"/>
              <w:bottom w:val="single" w:sz="4" w:space="0" w:color="auto"/>
              <w:right w:val="single" w:sz="4" w:space="0" w:color="auto"/>
            </w:tcBorders>
          </w:tcPr>
          <w:p w:rsidR="004D25E5" w:rsidRDefault="004D25E5">
            <w:pPr>
              <w:widowControl/>
              <w:spacing w:line="560" w:lineRule="exact"/>
              <w:jc w:val="center"/>
              <w:rPr>
                <w:rFonts w:ascii="黑体" w:eastAsia="黑体" w:hAnsi="黑体" w:cs="黑体"/>
                <w:color w:val="000000"/>
                <w:kern w:val="0"/>
                <w:sz w:val="20"/>
                <w:szCs w:val="20"/>
              </w:rPr>
            </w:pPr>
          </w:p>
          <w:p w:rsidR="004D25E5" w:rsidRDefault="004D25E5">
            <w:pPr>
              <w:widowControl/>
              <w:spacing w:line="560" w:lineRule="exact"/>
              <w:jc w:val="center"/>
              <w:rPr>
                <w:rFonts w:ascii="黑体" w:eastAsia="黑体" w:hAnsi="黑体" w:cs="黑体"/>
                <w:color w:val="000000"/>
                <w:kern w:val="0"/>
                <w:sz w:val="20"/>
                <w:szCs w:val="20"/>
              </w:rPr>
            </w:pPr>
          </w:p>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三、本年度办理结果</w:t>
            </w:r>
          </w:p>
        </w:tc>
        <w:tc>
          <w:tcPr>
            <w:tcW w:w="2494" w:type="dxa"/>
            <w:gridSpan w:val="2"/>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一、予以公开</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953"/>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2494" w:type="dxa"/>
            <w:gridSpan w:val="2"/>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二、部分公开（区分处理的，只计这一情形，不计其他情形）</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287"/>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（三）不予公开</w:t>
            </w: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1.</w:t>
            </w:r>
            <w:r>
              <w:rPr>
                <w:rFonts w:ascii="黑体" w:eastAsia="黑体" w:hAnsi="黑体" w:cs="黑体" w:hint="eastAsia"/>
                <w:color w:val="000000"/>
                <w:kern w:val="0"/>
                <w:sz w:val="20"/>
                <w:szCs w:val="20"/>
              </w:rPr>
              <w:t>属于国家秘密</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2.</w:t>
            </w:r>
            <w:r>
              <w:rPr>
                <w:rFonts w:ascii="黑体" w:eastAsia="黑体" w:hAnsi="黑体" w:cs="黑体" w:hint="eastAsia"/>
                <w:color w:val="000000"/>
                <w:kern w:val="0"/>
                <w:sz w:val="20"/>
                <w:szCs w:val="20"/>
              </w:rPr>
              <w:t>其他法律行政法规禁止公开</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3.</w:t>
            </w:r>
            <w:r>
              <w:rPr>
                <w:rFonts w:ascii="黑体" w:eastAsia="黑体" w:hAnsi="黑体" w:cs="黑体" w:hint="eastAsia"/>
                <w:color w:val="000000"/>
                <w:kern w:val="0"/>
                <w:sz w:val="20"/>
                <w:szCs w:val="20"/>
              </w:rPr>
              <w:t>危及“三安全一稳定”</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4.</w:t>
            </w:r>
            <w:r>
              <w:rPr>
                <w:rFonts w:ascii="黑体" w:eastAsia="黑体" w:hAnsi="黑体" w:cs="黑体" w:hint="eastAsia"/>
                <w:color w:val="000000"/>
                <w:kern w:val="0"/>
                <w:sz w:val="20"/>
                <w:szCs w:val="20"/>
              </w:rPr>
              <w:t>保护第三方合法权益</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5.</w:t>
            </w:r>
            <w:r>
              <w:rPr>
                <w:rFonts w:ascii="黑体" w:eastAsia="黑体" w:hAnsi="黑体" w:cs="黑体" w:hint="eastAsia"/>
                <w:color w:val="000000"/>
                <w:kern w:val="0"/>
                <w:sz w:val="20"/>
                <w:szCs w:val="20"/>
              </w:rPr>
              <w:t>属于三类内部事务信息</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6.</w:t>
            </w:r>
            <w:r>
              <w:rPr>
                <w:rFonts w:ascii="黑体" w:eastAsia="黑体" w:hAnsi="黑体" w:cs="黑体" w:hint="eastAsia"/>
                <w:color w:val="000000"/>
                <w:kern w:val="0"/>
                <w:sz w:val="20"/>
                <w:szCs w:val="20"/>
              </w:rPr>
              <w:t>属于四类过程信息</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7.</w:t>
            </w:r>
            <w:r>
              <w:rPr>
                <w:rFonts w:ascii="黑体" w:eastAsia="黑体" w:hAnsi="黑体" w:cs="黑体" w:hint="eastAsia"/>
                <w:color w:val="000000"/>
                <w:kern w:val="0"/>
                <w:sz w:val="20"/>
                <w:szCs w:val="20"/>
              </w:rPr>
              <w:t>属于行政执法案卷</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8.</w:t>
            </w:r>
            <w:r>
              <w:rPr>
                <w:rFonts w:ascii="黑体" w:eastAsia="黑体" w:hAnsi="黑体" w:cs="黑体" w:hint="eastAsia"/>
                <w:color w:val="000000"/>
                <w:kern w:val="0"/>
                <w:sz w:val="20"/>
                <w:szCs w:val="20"/>
              </w:rPr>
              <w:t>属于行政查询事项</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（四）</w:t>
            </w:r>
            <w:r>
              <w:rPr>
                <w:rFonts w:ascii="黑体" w:eastAsia="黑体" w:hAnsi="黑体" w:cs="黑体" w:hint="eastAsia"/>
                <w:color w:val="000000"/>
                <w:kern w:val="0"/>
                <w:sz w:val="20"/>
                <w:szCs w:val="20"/>
              </w:rPr>
              <w:lastRenderedPageBreak/>
              <w:t>无法提供</w:t>
            </w: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lastRenderedPageBreak/>
              <w:t>1.</w:t>
            </w:r>
            <w:r>
              <w:rPr>
                <w:rFonts w:ascii="黑体" w:eastAsia="黑体" w:hAnsi="黑体" w:cs="黑体" w:hint="eastAsia"/>
                <w:color w:val="000000"/>
                <w:kern w:val="0"/>
                <w:sz w:val="20"/>
                <w:szCs w:val="20"/>
              </w:rPr>
              <w:t>本机关不掌握</w:t>
            </w:r>
            <w:r>
              <w:rPr>
                <w:rFonts w:ascii="黑体" w:eastAsia="黑体" w:hAnsi="黑体" w:cs="黑体" w:hint="eastAsia"/>
                <w:color w:val="000000"/>
                <w:kern w:val="0"/>
                <w:sz w:val="20"/>
                <w:szCs w:val="20"/>
              </w:rPr>
              <w:lastRenderedPageBreak/>
              <w:t>相关政府信息</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lastRenderedPageBreak/>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2.</w:t>
            </w:r>
            <w:r>
              <w:rPr>
                <w:rFonts w:ascii="黑体" w:eastAsia="黑体" w:hAnsi="黑体" w:cs="黑体" w:hint="eastAsia"/>
                <w:color w:val="000000"/>
                <w:kern w:val="0"/>
                <w:sz w:val="20"/>
                <w:szCs w:val="20"/>
              </w:rPr>
              <w:t>没有现成信息需要另外制作</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3.</w:t>
            </w:r>
            <w:r>
              <w:rPr>
                <w:rFonts w:ascii="黑体" w:eastAsia="黑体" w:hAnsi="黑体" w:cs="黑体" w:hint="eastAsia"/>
                <w:color w:val="000000"/>
                <w:kern w:val="0"/>
                <w:sz w:val="20"/>
                <w:szCs w:val="20"/>
              </w:rPr>
              <w:t>补正后申请内容仍不明确</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（五）不予处理</w:t>
            </w: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1.</w:t>
            </w:r>
            <w:r>
              <w:rPr>
                <w:rFonts w:ascii="黑体" w:eastAsia="黑体" w:hAnsi="黑体" w:cs="黑体" w:hint="eastAsia"/>
                <w:color w:val="000000"/>
                <w:kern w:val="0"/>
                <w:sz w:val="20"/>
                <w:szCs w:val="20"/>
              </w:rPr>
              <w:t>信访举报投诉类申请</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287"/>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2.</w:t>
            </w:r>
            <w:r>
              <w:rPr>
                <w:rFonts w:ascii="黑体" w:eastAsia="黑体" w:hAnsi="黑体" w:cs="黑体" w:hint="eastAsia"/>
                <w:color w:val="000000"/>
                <w:kern w:val="0"/>
                <w:sz w:val="20"/>
                <w:szCs w:val="20"/>
              </w:rPr>
              <w:t>重复申请</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3.</w:t>
            </w:r>
            <w:r>
              <w:rPr>
                <w:rFonts w:ascii="黑体" w:eastAsia="黑体" w:hAnsi="黑体" w:cs="黑体" w:hint="eastAsia"/>
                <w:color w:val="000000"/>
                <w:kern w:val="0"/>
                <w:sz w:val="20"/>
                <w:szCs w:val="20"/>
              </w:rPr>
              <w:t>要求提供公开出版物</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544"/>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4.</w:t>
            </w:r>
            <w:r>
              <w:rPr>
                <w:rFonts w:ascii="黑体" w:eastAsia="黑体" w:hAnsi="黑体" w:cs="黑体" w:hint="eastAsia"/>
                <w:color w:val="000000"/>
                <w:kern w:val="0"/>
                <w:sz w:val="20"/>
                <w:szCs w:val="20"/>
              </w:rPr>
              <w:t>无正当理由大量反复申请</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817"/>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color w:val="000000"/>
                <w:kern w:val="0"/>
                <w:sz w:val="20"/>
                <w:szCs w:val="20"/>
              </w:rPr>
              <w:t>5.</w:t>
            </w:r>
            <w:r>
              <w:rPr>
                <w:rFonts w:ascii="黑体" w:eastAsia="黑体" w:hAnsi="黑体" w:cs="黑体" w:hint="eastAsia"/>
                <w:color w:val="000000"/>
                <w:kern w:val="0"/>
                <w:sz w:val="20"/>
                <w:szCs w:val="20"/>
              </w:rPr>
              <w:t>要求行政机关确认或重新出具已获取信息</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90"/>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（六）其他处理</w:t>
            </w: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s="黑体"/>
                <w:color w:val="000000"/>
                <w:kern w:val="0"/>
                <w:sz w:val="20"/>
                <w:szCs w:val="20"/>
              </w:rPr>
            </w:pPr>
            <w:r>
              <w:rPr>
                <w:rFonts w:ascii="黑体" w:eastAsia="黑体" w:hAnsi="黑体" w:cs="黑体" w:hint="eastAsia"/>
                <w:color w:val="000000"/>
                <w:kern w:val="0"/>
                <w:sz w:val="20"/>
                <w:szCs w:val="20"/>
              </w:rPr>
              <w:t>1.申请人无正当理由逾期不补正、行政机关不再处理其他政府信息公开申请</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r>
      <w:tr w:rsidR="004D25E5">
        <w:trPr>
          <w:trHeight w:val="287"/>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s="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s="黑体"/>
                <w:color w:val="000000"/>
                <w:kern w:val="0"/>
                <w:sz w:val="20"/>
                <w:szCs w:val="20"/>
              </w:rPr>
            </w:pPr>
            <w:r>
              <w:rPr>
                <w:rFonts w:ascii="黑体" w:eastAsia="黑体" w:hAnsi="黑体" w:cs="黑体" w:hint="eastAsia"/>
                <w:color w:val="000000"/>
                <w:kern w:val="0"/>
                <w:sz w:val="20"/>
                <w:szCs w:val="20"/>
              </w:rPr>
              <w:t>2.申请人逾期未按收费通知要求缴纳费用、行政机关不再处理其</w:t>
            </w:r>
            <w:r>
              <w:rPr>
                <w:rFonts w:ascii="黑体" w:eastAsia="黑体" w:hAnsi="黑体" w:cs="黑体" w:hint="eastAsia"/>
                <w:color w:val="000000"/>
                <w:kern w:val="0"/>
                <w:sz w:val="20"/>
                <w:szCs w:val="20"/>
              </w:rPr>
              <w:lastRenderedPageBreak/>
              <w:t>他政府信息公开申请</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lastRenderedPageBreak/>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r>
      <w:tr w:rsidR="004D25E5">
        <w:trPr>
          <w:trHeight w:val="287"/>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87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161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s="黑体"/>
                <w:color w:val="000000"/>
                <w:kern w:val="0"/>
                <w:sz w:val="20"/>
                <w:szCs w:val="20"/>
              </w:rPr>
            </w:pPr>
            <w:r>
              <w:rPr>
                <w:rFonts w:ascii="黑体" w:eastAsia="黑体" w:hAnsi="黑体" w:cs="黑体" w:hint="eastAsia"/>
                <w:color w:val="000000"/>
                <w:kern w:val="0"/>
                <w:sz w:val="20"/>
                <w:szCs w:val="20"/>
              </w:rPr>
              <w:t>3.其他</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r w:rsidR="004D25E5">
        <w:trPr>
          <w:trHeight w:val="605"/>
          <w:jc w:val="center"/>
        </w:trPr>
        <w:tc>
          <w:tcPr>
            <w:tcW w:w="656"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2494" w:type="dxa"/>
            <w:gridSpan w:val="2"/>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（七）总计</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hint="eastAsia"/>
                <w:color w:val="000000"/>
                <w:kern w:val="0"/>
                <w:sz w:val="20"/>
                <w:szCs w:val="20"/>
              </w:rPr>
              <w:t>0</w:t>
            </w:r>
          </w:p>
        </w:tc>
      </w:tr>
      <w:tr w:rsidR="004D25E5">
        <w:trPr>
          <w:trHeight w:val="540"/>
          <w:jc w:val="center"/>
        </w:trPr>
        <w:tc>
          <w:tcPr>
            <w:tcW w:w="3150" w:type="dxa"/>
            <w:gridSpan w:val="3"/>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left"/>
              <w:rPr>
                <w:rFonts w:ascii="黑体" w:eastAsia="黑体" w:hAnsi="黑体"/>
                <w:color w:val="000000"/>
                <w:kern w:val="0"/>
                <w:sz w:val="20"/>
                <w:szCs w:val="20"/>
              </w:rPr>
            </w:pPr>
            <w:r>
              <w:rPr>
                <w:rFonts w:ascii="黑体" w:eastAsia="黑体" w:hAnsi="黑体" w:cs="黑体" w:hint="eastAsia"/>
                <w:color w:val="000000"/>
                <w:kern w:val="0"/>
                <w:sz w:val="20"/>
                <w:szCs w:val="20"/>
              </w:rPr>
              <w:t>四、结转下年度继续办理</w:t>
            </w:r>
          </w:p>
        </w:tc>
        <w:tc>
          <w:tcPr>
            <w:tcW w:w="67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4"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843"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438"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c>
          <w:tcPr>
            <w:tcW w:w="662"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s="黑体"/>
                <w:color w:val="000000"/>
                <w:kern w:val="0"/>
                <w:sz w:val="20"/>
                <w:szCs w:val="20"/>
              </w:rPr>
            </w:pPr>
            <w:r>
              <w:rPr>
                <w:rFonts w:ascii="黑体" w:eastAsia="黑体" w:hAnsi="黑体" w:cs="黑体"/>
                <w:color w:val="000000"/>
                <w:kern w:val="0"/>
                <w:sz w:val="20"/>
                <w:szCs w:val="20"/>
              </w:rPr>
              <w:t>0</w:t>
            </w:r>
          </w:p>
        </w:tc>
      </w:tr>
    </w:tbl>
    <w:p w:rsidR="004D25E5" w:rsidRDefault="004D25E5">
      <w:pPr>
        <w:spacing w:line="560" w:lineRule="exact"/>
        <w:rPr>
          <w:rFonts w:ascii="黑体" w:eastAsia="黑体" w:hAnsi="黑体" w:cs="黑体"/>
          <w:szCs w:val="32"/>
        </w:rPr>
      </w:pPr>
    </w:p>
    <w:p w:rsidR="004D25E5" w:rsidRDefault="00BA5164">
      <w:pPr>
        <w:spacing w:line="560" w:lineRule="exact"/>
        <w:ind w:firstLineChars="200" w:firstLine="640"/>
        <w:rPr>
          <w:rFonts w:ascii="黑体" w:eastAsia="黑体" w:hAnsi="黑体"/>
          <w:szCs w:val="32"/>
        </w:rPr>
      </w:pPr>
      <w:r>
        <w:rPr>
          <w:rFonts w:ascii="黑体" w:eastAsia="黑体" w:hAnsi="黑体" w:cs="黑体" w:hint="eastAsia"/>
          <w:szCs w:val="32"/>
        </w:rPr>
        <w:t>四、政府信息公开行政复议、行政诉讼情况</w:t>
      </w:r>
    </w:p>
    <w:tbl>
      <w:tblPr>
        <w:tblW w:w="8247" w:type="dxa"/>
        <w:jc w:val="center"/>
        <w:tblLook w:val="04A0" w:firstRow="1" w:lastRow="0" w:firstColumn="1" w:lastColumn="0" w:noHBand="0" w:noVBand="1"/>
      </w:tblPr>
      <w:tblGrid>
        <w:gridCol w:w="549"/>
        <w:gridCol w:w="549"/>
        <w:gridCol w:w="549"/>
        <w:gridCol w:w="549"/>
        <w:gridCol w:w="553"/>
        <w:gridCol w:w="549"/>
        <w:gridCol w:w="549"/>
        <w:gridCol w:w="549"/>
        <w:gridCol w:w="549"/>
        <w:gridCol w:w="553"/>
        <w:gridCol w:w="549"/>
        <w:gridCol w:w="549"/>
        <w:gridCol w:w="549"/>
        <w:gridCol w:w="549"/>
        <w:gridCol w:w="553"/>
      </w:tblGrid>
      <w:tr w:rsidR="004D25E5">
        <w:trPr>
          <w:trHeight w:val="653"/>
          <w:jc w:val="center"/>
        </w:trPr>
        <w:tc>
          <w:tcPr>
            <w:tcW w:w="2749" w:type="dxa"/>
            <w:gridSpan w:val="5"/>
            <w:tcBorders>
              <w:top w:val="single" w:sz="4" w:space="0" w:color="auto"/>
              <w:left w:val="single" w:sz="4" w:space="0" w:color="auto"/>
              <w:bottom w:val="single" w:sz="4" w:space="0" w:color="auto"/>
              <w:right w:val="single" w:sz="4" w:space="0" w:color="auto"/>
            </w:tcBorders>
            <w:noWrap/>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行政复议</w:t>
            </w:r>
          </w:p>
        </w:tc>
        <w:tc>
          <w:tcPr>
            <w:tcW w:w="5498" w:type="dxa"/>
            <w:gridSpan w:val="10"/>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行政诉讼</w:t>
            </w:r>
          </w:p>
        </w:tc>
      </w:tr>
      <w:tr w:rsidR="004D25E5">
        <w:trPr>
          <w:trHeight w:val="606"/>
          <w:jc w:val="center"/>
        </w:trPr>
        <w:tc>
          <w:tcPr>
            <w:tcW w:w="549"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结果维持</w:t>
            </w:r>
          </w:p>
        </w:tc>
        <w:tc>
          <w:tcPr>
            <w:tcW w:w="549"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结果纠正</w:t>
            </w:r>
          </w:p>
        </w:tc>
        <w:tc>
          <w:tcPr>
            <w:tcW w:w="549"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其他结果</w:t>
            </w:r>
          </w:p>
        </w:tc>
        <w:tc>
          <w:tcPr>
            <w:tcW w:w="549"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尚未审结</w:t>
            </w:r>
          </w:p>
        </w:tc>
        <w:tc>
          <w:tcPr>
            <w:tcW w:w="549" w:type="dxa"/>
            <w:vMerge w:val="restart"/>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总计</w:t>
            </w:r>
          </w:p>
        </w:tc>
        <w:tc>
          <w:tcPr>
            <w:tcW w:w="2749" w:type="dxa"/>
            <w:gridSpan w:val="5"/>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未经复议直接起诉</w:t>
            </w:r>
          </w:p>
        </w:tc>
        <w:tc>
          <w:tcPr>
            <w:tcW w:w="2749" w:type="dxa"/>
            <w:gridSpan w:val="5"/>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复议后起诉</w:t>
            </w:r>
          </w:p>
        </w:tc>
      </w:tr>
      <w:tr w:rsidR="004D25E5">
        <w:trPr>
          <w:trHeight w:val="1550"/>
          <w:jc w:val="center"/>
        </w:trPr>
        <w:tc>
          <w:tcPr>
            <w:tcW w:w="549"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549"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549"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549"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549" w:type="dxa"/>
            <w:vMerge/>
            <w:tcBorders>
              <w:top w:val="single" w:sz="4" w:space="0" w:color="auto"/>
              <w:left w:val="single" w:sz="4" w:space="0" w:color="auto"/>
              <w:bottom w:val="single" w:sz="4" w:space="0" w:color="auto"/>
              <w:right w:val="single" w:sz="4" w:space="0" w:color="auto"/>
            </w:tcBorders>
            <w:vAlign w:val="center"/>
          </w:tcPr>
          <w:p w:rsidR="004D25E5" w:rsidRDefault="004D25E5">
            <w:pPr>
              <w:widowControl/>
              <w:spacing w:line="560" w:lineRule="exact"/>
              <w:jc w:val="left"/>
              <w:rPr>
                <w:rFonts w:ascii="黑体" w:eastAsia="黑体" w:hAnsi="黑体"/>
                <w:color w:val="000000"/>
                <w:kern w:val="0"/>
                <w:sz w:val="20"/>
                <w:szCs w:val="20"/>
              </w:rPr>
            </w:pP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结果维持</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结果纠正</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其他结果</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尚未审结</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b/>
                <w:bCs/>
                <w:color w:val="000000"/>
                <w:kern w:val="0"/>
                <w:sz w:val="20"/>
                <w:szCs w:val="20"/>
              </w:rPr>
            </w:pPr>
            <w:r>
              <w:rPr>
                <w:rFonts w:ascii="黑体" w:eastAsia="黑体" w:hAnsi="黑体" w:cs="黑体" w:hint="eastAsia"/>
                <w:b/>
                <w:bCs/>
                <w:color w:val="000000"/>
                <w:kern w:val="0"/>
                <w:sz w:val="20"/>
                <w:szCs w:val="20"/>
              </w:rPr>
              <w:t>总计</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结果维持</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结果纠正</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其他结果</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ascii="黑体" w:eastAsia="黑体" w:hAnsi="黑体" w:cs="黑体" w:hint="eastAsia"/>
                <w:color w:val="000000"/>
                <w:kern w:val="0"/>
                <w:sz w:val="20"/>
                <w:szCs w:val="20"/>
              </w:rPr>
              <w:t>尚未审结</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b/>
                <w:bCs/>
                <w:color w:val="000000"/>
                <w:kern w:val="0"/>
                <w:sz w:val="20"/>
                <w:szCs w:val="20"/>
              </w:rPr>
            </w:pPr>
            <w:r>
              <w:rPr>
                <w:rFonts w:ascii="黑体" w:eastAsia="黑体" w:hAnsi="黑体" w:cs="黑体" w:hint="eastAsia"/>
                <w:b/>
                <w:bCs/>
                <w:color w:val="000000"/>
                <w:kern w:val="0"/>
                <w:sz w:val="20"/>
                <w:szCs w:val="20"/>
              </w:rPr>
              <w:t>总计</w:t>
            </w:r>
          </w:p>
        </w:tc>
      </w:tr>
      <w:tr w:rsidR="004D25E5">
        <w:trPr>
          <w:trHeight w:val="510"/>
          <w:jc w:val="center"/>
        </w:trPr>
        <w:tc>
          <w:tcPr>
            <w:tcW w:w="549" w:type="dxa"/>
            <w:tcBorders>
              <w:top w:val="single" w:sz="4" w:space="0" w:color="auto"/>
              <w:left w:val="single" w:sz="4" w:space="0" w:color="auto"/>
              <w:bottom w:val="single" w:sz="4" w:space="0" w:color="auto"/>
              <w:right w:val="single" w:sz="4" w:space="0" w:color="auto"/>
            </w:tcBorders>
            <w:noWrap/>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noWrap/>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noWrap/>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noWrap/>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noWrap/>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c>
          <w:tcPr>
            <w:tcW w:w="549" w:type="dxa"/>
            <w:tcBorders>
              <w:top w:val="single" w:sz="4" w:space="0" w:color="auto"/>
              <w:left w:val="single" w:sz="4" w:space="0" w:color="auto"/>
              <w:bottom w:val="single" w:sz="4" w:space="0" w:color="auto"/>
              <w:right w:val="single" w:sz="4" w:space="0" w:color="auto"/>
            </w:tcBorders>
            <w:vAlign w:val="center"/>
          </w:tcPr>
          <w:p w:rsidR="004D25E5" w:rsidRDefault="00BA5164">
            <w:pPr>
              <w:widowControl/>
              <w:spacing w:line="560" w:lineRule="exact"/>
              <w:jc w:val="center"/>
              <w:rPr>
                <w:rFonts w:ascii="黑体" w:eastAsia="黑体" w:hAnsi="黑体"/>
                <w:color w:val="000000"/>
                <w:kern w:val="0"/>
                <w:sz w:val="20"/>
                <w:szCs w:val="20"/>
              </w:rPr>
            </w:pPr>
            <w:r>
              <w:rPr>
                <w:rFonts w:eastAsia="黑体" w:hAnsi="黑体"/>
                <w:color w:val="000000"/>
                <w:kern w:val="0"/>
                <w:sz w:val="20"/>
                <w:szCs w:val="20"/>
              </w:rPr>
              <w:t>0</w:t>
            </w:r>
            <w:r>
              <w:rPr>
                <w:rFonts w:ascii="黑体" w:eastAsia="黑体" w:hAnsi="黑体" w:cs="黑体" w:hint="eastAsia"/>
                <w:color w:val="000000"/>
                <w:kern w:val="0"/>
                <w:sz w:val="20"/>
                <w:szCs w:val="20"/>
              </w:rPr>
              <w:t xml:space="preserve">　</w:t>
            </w:r>
          </w:p>
        </w:tc>
      </w:tr>
    </w:tbl>
    <w:p w:rsidR="004D25E5" w:rsidRDefault="00BA5164">
      <w:pPr>
        <w:pStyle w:val="1"/>
        <w:spacing w:line="560" w:lineRule="exact"/>
        <w:ind w:firstLine="640"/>
        <w:rPr>
          <w:rFonts w:ascii="黑体" w:eastAsia="黑体" w:hAnsi="黑体"/>
          <w:color w:val="333333"/>
        </w:rPr>
      </w:pPr>
      <w:r>
        <w:rPr>
          <w:rFonts w:ascii="黑体" w:eastAsia="黑体" w:hAnsi="黑体" w:hint="eastAsia"/>
          <w:bCs/>
          <w:color w:val="333333"/>
        </w:rPr>
        <w:t>五、</w:t>
      </w:r>
      <w:r w:rsidR="0078798F" w:rsidRPr="0078798F">
        <w:rPr>
          <w:rFonts w:ascii="黑体" w:eastAsia="黑体" w:hAnsi="黑体" w:hint="eastAsia"/>
          <w:bCs/>
          <w:color w:val="333333"/>
        </w:rPr>
        <w:t>存在的主要问题及改进情况</w:t>
      </w:r>
      <w:bookmarkStart w:id="0" w:name="_GoBack"/>
      <w:bookmarkEnd w:id="0"/>
    </w:p>
    <w:p w:rsidR="004D25E5" w:rsidRDefault="00BA5164">
      <w:pPr>
        <w:pStyle w:val="1"/>
        <w:spacing w:line="560" w:lineRule="exact"/>
        <w:ind w:firstLine="640"/>
        <w:rPr>
          <w:rFonts w:ascii="楷体_GB2312" w:eastAsia="楷体_GB2312" w:hAnsi="宋体" w:cs="宋体"/>
          <w:color w:val="000000" w:themeColor="text1"/>
        </w:rPr>
      </w:pPr>
      <w:r>
        <w:rPr>
          <w:rFonts w:ascii="楷体_GB2312" w:eastAsia="楷体_GB2312" w:hAnsi="宋体" w:cs="宋体" w:hint="eastAsia"/>
          <w:color w:val="000000" w:themeColor="text1"/>
        </w:rPr>
        <w:t>(一)存在的主要问题</w:t>
      </w:r>
    </w:p>
    <w:p w:rsidR="004D25E5" w:rsidRDefault="00BA5164">
      <w:pPr>
        <w:spacing w:line="560" w:lineRule="exact"/>
        <w:ind w:firstLineChars="200" w:firstLine="643"/>
        <w:rPr>
          <w:rFonts w:ascii="仿宋_GB2312" w:hAnsi="仿宋_GB2312" w:cs="仿宋_GB2312"/>
          <w:color w:val="000000" w:themeColor="text1"/>
          <w:szCs w:val="32"/>
        </w:rPr>
      </w:pPr>
      <w:r>
        <w:rPr>
          <w:rFonts w:ascii="仿宋_GB2312" w:hAnsi="仿宋_GB2312" w:cs="仿宋_GB2312" w:hint="eastAsia"/>
          <w:b/>
          <w:bCs/>
          <w:color w:val="000000" w:themeColor="text1"/>
          <w:szCs w:val="32"/>
        </w:rPr>
        <w:t>一是</w:t>
      </w:r>
      <w:r>
        <w:rPr>
          <w:rFonts w:ascii="仿宋_GB2312" w:hAnsi="仿宋_GB2312" w:cs="仿宋_GB2312" w:hint="eastAsia"/>
          <w:color w:val="333333"/>
          <w:szCs w:val="32"/>
        </w:rPr>
        <w:t>政</w:t>
      </w:r>
      <w:r>
        <w:rPr>
          <w:rFonts w:ascii="仿宋_GB2312" w:hAnsi="仿宋_GB2312" w:cs="仿宋_GB2312" w:hint="eastAsia"/>
          <w:color w:val="000000" w:themeColor="text1"/>
          <w:szCs w:val="32"/>
        </w:rPr>
        <w:t>府</w:t>
      </w:r>
      <w:r>
        <w:rPr>
          <w:rFonts w:ascii="仿宋_GB2312" w:hAnsi="仿宋_GB2312" w:cs="仿宋_GB2312" w:hint="eastAsia"/>
          <w:color w:val="333333"/>
          <w:szCs w:val="32"/>
        </w:rPr>
        <w:t>信息公开的内容有待优化，当前信息公开的内容更多属于常规的，生动性和形象性有所不足，导致群众的关注度和了解度不够。</w:t>
      </w:r>
      <w:r>
        <w:rPr>
          <w:rFonts w:ascii="仿宋_GB2312" w:hAnsi="仿宋_GB2312" w:cs="仿宋_GB2312" w:hint="eastAsia"/>
          <w:b/>
          <w:bCs/>
          <w:szCs w:val="32"/>
        </w:rPr>
        <w:t>二是</w:t>
      </w:r>
      <w:r>
        <w:rPr>
          <w:rFonts w:ascii="仿宋_GB2312" w:hAnsi="仿宋_GB2312" w:cs="仿宋_GB2312" w:hint="eastAsia"/>
          <w:color w:val="000000" w:themeColor="text1"/>
          <w:szCs w:val="32"/>
        </w:rPr>
        <w:t>个别干部职工对政府信息公开工作的有关政策和流程把握还不够全面，学习不够系统。</w:t>
      </w:r>
    </w:p>
    <w:p w:rsidR="004D25E5" w:rsidRDefault="00BA5164">
      <w:pPr>
        <w:pStyle w:val="1"/>
        <w:spacing w:line="560" w:lineRule="exact"/>
        <w:ind w:firstLine="640"/>
        <w:rPr>
          <w:rFonts w:ascii="楷体_GB2312" w:eastAsia="楷体_GB2312" w:hAnsi="宋体" w:cs="宋体"/>
          <w:color w:val="000000" w:themeColor="text1"/>
        </w:rPr>
      </w:pPr>
      <w:r>
        <w:rPr>
          <w:rFonts w:ascii="楷体_GB2312" w:eastAsia="楷体_GB2312" w:hAnsi="宋体" w:cs="宋体" w:hint="eastAsia"/>
          <w:color w:val="000000" w:themeColor="text1"/>
        </w:rPr>
        <w:t>（二）改进措施</w:t>
      </w:r>
    </w:p>
    <w:p w:rsidR="004D25E5" w:rsidRDefault="00BA5164" w:rsidP="00C50E25">
      <w:pPr>
        <w:pStyle w:val="1"/>
        <w:spacing w:line="560" w:lineRule="exact"/>
        <w:ind w:firstLine="643"/>
        <w:rPr>
          <w:rFonts w:ascii="仿宋_GB2312" w:eastAsia="仿宋_GB2312" w:hAnsi="宋体" w:cs="宋体"/>
          <w:color w:val="000000" w:themeColor="text1"/>
        </w:rPr>
      </w:pPr>
      <w:r>
        <w:rPr>
          <w:rFonts w:ascii="仿宋_GB2312" w:eastAsia="仿宋_GB2312" w:hAnsi="宋体" w:cs="宋体" w:hint="eastAsia"/>
          <w:b/>
          <w:bCs/>
          <w:color w:val="000000" w:themeColor="text1"/>
        </w:rPr>
        <w:t>一是</w:t>
      </w:r>
      <w:r>
        <w:rPr>
          <w:rFonts w:ascii="仿宋_GB2312" w:eastAsia="仿宋_GB2312" w:hAnsi="仿宋_GB2312" w:cs="仿宋_GB2312" w:hint="eastAsia"/>
          <w:color w:val="333333"/>
          <w:szCs w:val="32"/>
        </w:rPr>
        <w:t>加强与各门户网站的沟通联系，积极利用报刊媒体等平台传播税务信息，从单一的“数字公开”转化为图像、视频等。</w:t>
      </w:r>
      <w:r>
        <w:rPr>
          <w:rFonts w:ascii="仿宋_GB2312" w:eastAsia="仿宋_GB2312" w:hAnsi="宋体" w:cs="宋体" w:hint="eastAsia"/>
          <w:b/>
          <w:bCs/>
          <w:color w:val="000000" w:themeColor="text1"/>
        </w:rPr>
        <w:t>二是</w:t>
      </w:r>
      <w:r>
        <w:rPr>
          <w:rFonts w:ascii="仿宋_GB2312" w:eastAsia="仿宋_GB2312" w:hAnsi="宋体" w:cs="宋体" w:hint="eastAsia"/>
          <w:color w:val="000000" w:themeColor="text1"/>
        </w:rPr>
        <w:t>加大信息公开培训力度，组织全体干部职工开</w:t>
      </w:r>
      <w:r>
        <w:rPr>
          <w:rFonts w:ascii="仿宋_GB2312" w:eastAsia="仿宋_GB2312" w:hAnsi="宋体" w:cs="宋体" w:hint="eastAsia"/>
          <w:color w:val="000000" w:themeColor="text1"/>
        </w:rPr>
        <w:lastRenderedPageBreak/>
        <w:t>展政府信息公开知识培训，提高整体业务水平。</w:t>
      </w:r>
    </w:p>
    <w:p w:rsidR="004D25E5" w:rsidRDefault="00BA5164">
      <w:pPr>
        <w:pStyle w:val="1"/>
        <w:spacing w:line="560" w:lineRule="exact"/>
        <w:ind w:firstLine="640"/>
        <w:rPr>
          <w:rFonts w:ascii="黑体" w:eastAsia="黑体" w:hAnsi="黑体"/>
          <w:bCs/>
          <w:color w:val="333333"/>
        </w:rPr>
      </w:pPr>
      <w:r>
        <w:rPr>
          <w:rFonts w:ascii="黑体" w:eastAsia="黑体" w:hAnsi="黑体" w:hint="eastAsia"/>
          <w:bCs/>
          <w:color w:val="333333"/>
        </w:rPr>
        <w:t>六、其他需要报告的事项</w:t>
      </w:r>
    </w:p>
    <w:p w:rsidR="004D25E5" w:rsidRDefault="00BA5164">
      <w:pPr>
        <w:pBdr>
          <w:bottom w:val="single" w:sz="4" w:space="28" w:color="FFFFFF"/>
        </w:pBdr>
        <w:spacing w:line="560" w:lineRule="exact"/>
        <w:ind w:firstLineChars="200" w:firstLine="640"/>
        <w:rPr>
          <w:rFonts w:ascii="仿宋_GB2312" w:hAnsi="仿宋_GB2312" w:cs="仿宋_GB2312"/>
          <w:color w:val="333333"/>
          <w:szCs w:val="32"/>
          <w:shd w:val="clear" w:color="auto" w:fill="FFFFFF"/>
        </w:rPr>
      </w:pPr>
      <w:r>
        <w:rPr>
          <w:rFonts w:ascii="楷体_GB2312" w:eastAsia="楷体_GB2312" w:hAnsi="楷体_GB2312" w:cs="楷体_GB2312" w:hint="eastAsia"/>
          <w:color w:val="333333"/>
          <w:szCs w:val="32"/>
          <w:shd w:val="clear" w:color="auto" w:fill="FFFFFF"/>
        </w:rPr>
        <w:t>（一）贯彻落实</w:t>
      </w:r>
      <w:r>
        <w:rPr>
          <w:rFonts w:ascii="仿宋_GB2312" w:hint="eastAsia"/>
          <w:snapToGrid w:val="0"/>
          <w:kern w:val="0"/>
          <w:szCs w:val="32"/>
        </w:rPr>
        <w:t>情况。</w:t>
      </w:r>
      <w:r>
        <w:rPr>
          <w:rFonts w:ascii="仿宋_GB2312" w:hAnsi="仿宋_GB2312" w:cs="仿宋_GB2312" w:hint="eastAsia"/>
          <w:color w:val="333333"/>
          <w:kern w:val="0"/>
          <w:szCs w:val="32"/>
          <w:shd w:val="clear" w:color="auto" w:fill="FFFFFF"/>
        </w:rPr>
        <w:t>2022年，区局全面贯彻落实《国家税务总局贵州省税务局2022年政务公开工作重点任务清单》工作内容，均已按要求推进和抓好落实。</w:t>
      </w:r>
      <w:r>
        <w:rPr>
          <w:rFonts w:ascii="仿宋_GB2312" w:hAnsi="仿宋_GB2312" w:cs="仿宋_GB2312" w:hint="eastAsia"/>
          <w:color w:val="333333"/>
          <w:szCs w:val="32"/>
          <w:shd w:val="clear" w:color="auto" w:fill="FFFFFF"/>
        </w:rPr>
        <w:t>全年不存在收取信息处理费情况。</w:t>
      </w:r>
    </w:p>
    <w:p w:rsidR="004D25E5" w:rsidRDefault="00BA5164">
      <w:pPr>
        <w:pBdr>
          <w:bottom w:val="single" w:sz="4" w:space="28" w:color="FFFFFF"/>
        </w:pBdr>
        <w:spacing w:line="560" w:lineRule="exact"/>
        <w:ind w:firstLineChars="200" w:firstLine="640"/>
        <w:rPr>
          <w:rFonts w:ascii="仿宋_GB2312" w:hAnsi="仿宋_GB2312" w:cs="仿宋_GB2312"/>
          <w:szCs w:val="32"/>
        </w:rPr>
      </w:pPr>
      <w:r>
        <w:rPr>
          <w:rFonts w:ascii="楷体_GB2312" w:eastAsia="楷体_GB2312" w:hAnsi="楷体_GB2312" w:cs="楷体_GB2312" w:hint="eastAsia"/>
          <w:color w:val="333333"/>
          <w:kern w:val="0"/>
          <w:szCs w:val="32"/>
          <w:shd w:val="clear" w:color="auto" w:fill="FFFFFF"/>
        </w:rPr>
        <w:t>（二）加强税费政策宣传情况。</w:t>
      </w:r>
      <w:r>
        <w:rPr>
          <w:rFonts w:ascii="仿宋_GB2312" w:hAnsi="仿宋_GB2312" w:cs="仿宋_GB2312" w:hint="eastAsia"/>
          <w:color w:val="333333"/>
          <w:kern w:val="0"/>
          <w:szCs w:val="32"/>
          <w:shd w:val="clear" w:color="auto" w:fill="FFFFFF"/>
        </w:rPr>
        <w:t>以全国第31个税收宣传月为契机，紧扣</w:t>
      </w:r>
      <w:r>
        <w:rPr>
          <w:rFonts w:ascii="仿宋_GB2312" w:hAnsi="仿宋_GB2312" w:cs="仿宋_GB2312" w:hint="eastAsia"/>
          <w:szCs w:val="32"/>
        </w:rPr>
        <w:t>“税收优惠促发展 惠企利民向未来”</w:t>
      </w:r>
      <w:r>
        <w:rPr>
          <w:rFonts w:ascii="仿宋_GB2312" w:hAnsi="仿宋_GB2312" w:cs="仿宋_GB2312" w:hint="eastAsia"/>
          <w:color w:val="333333"/>
          <w:szCs w:val="32"/>
          <w:shd w:val="clear" w:color="auto" w:fill="FFFFFF"/>
        </w:rPr>
        <w:t>主题，</w:t>
      </w:r>
      <w:r>
        <w:rPr>
          <w:rFonts w:ascii="仿宋_GB2312" w:hAnsi="仿宋_GB2312" w:cs="仿宋_GB2312" w:hint="eastAsia"/>
          <w:szCs w:val="32"/>
        </w:rPr>
        <w:t>宣传解读好新的组合式退税减税降费政策，特别是实施大规模增值税留抵退税政策。2022年退税减税相关信息简报在市级以上媒体公开18篇。</w:t>
      </w:r>
    </w:p>
    <w:p w:rsidR="004D25E5" w:rsidRDefault="00BA5164">
      <w:pPr>
        <w:pBdr>
          <w:bottom w:val="single" w:sz="4" w:space="28" w:color="FFFFFF"/>
        </w:pBdr>
        <w:spacing w:line="560" w:lineRule="exact"/>
        <w:ind w:firstLineChars="200" w:firstLine="640"/>
        <w:rPr>
          <w:rFonts w:ascii="仿宋_GB2312" w:hAnsi="仿宋_GB2312" w:cs="仿宋_GB2312"/>
          <w:color w:val="000000" w:themeColor="text1"/>
          <w:szCs w:val="32"/>
        </w:rPr>
      </w:pPr>
      <w:r>
        <w:rPr>
          <w:rFonts w:ascii="楷体_GB2312" w:eastAsia="楷体_GB2312" w:hAnsi="楷体_GB2312" w:cs="楷体_GB2312" w:hint="eastAsia"/>
          <w:color w:val="333333"/>
          <w:szCs w:val="32"/>
          <w:shd w:val="clear" w:color="auto" w:fill="FFFFFF"/>
        </w:rPr>
        <w:t>（三）深入推进“非接触办税”情况。</w:t>
      </w:r>
      <w:r>
        <w:rPr>
          <w:rFonts w:ascii="仿宋_GB2312" w:hAnsi="仿宋_GB2312" w:cs="仿宋_GB2312" w:hint="eastAsia"/>
          <w:color w:val="333333"/>
          <w:szCs w:val="32"/>
          <w:shd w:val="clear" w:color="auto" w:fill="FFFFFF"/>
        </w:rPr>
        <w:t>深化“非接触式”办税缴费服务</w:t>
      </w:r>
      <w:r>
        <w:rPr>
          <w:rFonts w:ascii="仿宋_GB2312" w:hAnsi="仿宋_GB2312" w:cs="仿宋_GB2312" w:hint="eastAsia"/>
          <w:szCs w:val="32"/>
          <w:shd w:val="clear" w:color="auto" w:fill="FFFFFF"/>
        </w:rPr>
        <w:t>,</w:t>
      </w:r>
      <w:r>
        <w:rPr>
          <w:rFonts w:ascii="仿宋_GB2312" w:hAnsi="仿宋_GB2312" w:cs="仿宋_GB2312" w:hint="eastAsia"/>
          <w:snapToGrid w:val="0"/>
          <w:kern w:val="0"/>
          <w:szCs w:val="32"/>
          <w:shd w:val="clear" w:color="auto" w:fill="FFFFFF"/>
        </w:rPr>
        <w:t>大</w:t>
      </w:r>
      <w:r>
        <w:rPr>
          <w:rFonts w:ascii="仿宋_GB2312" w:hAnsi="仿宋_GB2312" w:cs="仿宋_GB2312" w:hint="eastAsia"/>
          <w:snapToGrid w:val="0"/>
          <w:color w:val="000000" w:themeColor="text1"/>
          <w:kern w:val="0"/>
          <w:szCs w:val="32"/>
          <w:shd w:val="clear" w:color="auto" w:fill="FFFFFF"/>
        </w:rPr>
        <w:t>力推广电子税务局和税视服务通，</w:t>
      </w:r>
      <w:r>
        <w:rPr>
          <w:rFonts w:ascii="仿宋_GB2312" w:hAnsi="仿宋_GB2312" w:cs="仿宋_GB2312" w:hint="eastAsia"/>
          <w:snapToGrid w:val="0"/>
          <w:color w:val="000000" w:themeColor="text1"/>
          <w:kern w:val="0"/>
          <w:szCs w:val="32"/>
        </w:rPr>
        <w:t>持续推广网上申领发票、邮寄发票、线上缴费等多元化办税模式，</w:t>
      </w:r>
      <w:r>
        <w:rPr>
          <w:rFonts w:ascii="仿宋_GB2312" w:hAnsi="仿宋_GB2312" w:cs="仿宋_GB2312" w:hint="eastAsia"/>
          <w:snapToGrid w:val="0"/>
          <w:color w:val="000000" w:themeColor="text1"/>
          <w:kern w:val="0"/>
          <w:szCs w:val="32"/>
          <w:shd w:val="clear" w:color="auto" w:fill="FFFFFF"/>
        </w:rPr>
        <w:t>让纳税人足不出户享受便捷服务</w:t>
      </w:r>
      <w:r>
        <w:rPr>
          <w:rFonts w:ascii="仿宋_GB2312" w:hAnsi="仿宋_GB2312" w:cs="仿宋_GB2312" w:hint="eastAsia"/>
          <w:snapToGrid w:val="0"/>
          <w:color w:val="000000" w:themeColor="text1"/>
          <w:kern w:val="0"/>
          <w:szCs w:val="32"/>
        </w:rPr>
        <w:t>。</w:t>
      </w:r>
      <w:r>
        <w:rPr>
          <w:rFonts w:ascii="仿宋_GB2312" w:hAnsi="仿宋_GB2312" w:cs="仿宋_GB2312" w:hint="eastAsia"/>
          <w:color w:val="333333"/>
          <w:szCs w:val="32"/>
          <w:shd w:val="clear" w:color="auto" w:fill="FFFFFF"/>
        </w:rPr>
        <w:t>2022</w:t>
      </w:r>
      <w:r>
        <w:rPr>
          <w:rFonts w:ascii="仿宋_GB2312" w:hAnsi="仿宋_GB2312" w:cs="仿宋_GB2312" w:hint="eastAsia"/>
          <w:color w:val="000000" w:themeColor="text1"/>
          <w:szCs w:val="32"/>
        </w:rPr>
        <w:t>年开展预约服务58人次、延时服务35人次、绿色通道13次。</w:t>
      </w:r>
    </w:p>
    <w:p w:rsidR="004D25E5" w:rsidRDefault="004D25E5">
      <w:pPr>
        <w:pStyle w:val="a0"/>
        <w:tabs>
          <w:tab w:val="left" w:pos="1536"/>
        </w:tabs>
        <w:spacing w:before="0" w:after="0" w:line="560" w:lineRule="exact"/>
        <w:jc w:val="left"/>
        <w:rPr>
          <w:rFonts w:ascii="仿宋_GB2312" w:eastAsia="仿宋_GB2312" w:hAnsi="仿宋_GB2312" w:cs="仿宋_GB2312"/>
          <w:sz w:val="32"/>
        </w:rPr>
      </w:pPr>
    </w:p>
    <w:p w:rsidR="004D25E5" w:rsidRDefault="004D25E5"/>
    <w:p w:rsidR="004D25E5" w:rsidRDefault="00BA5164">
      <w:pPr>
        <w:spacing w:line="560" w:lineRule="exact"/>
        <w:jc w:val="right"/>
        <w:rPr>
          <w:rFonts w:ascii="仿宋_GB2312" w:hAnsi="仿宋_GB2312" w:cs="仿宋_GB2312"/>
          <w:szCs w:val="32"/>
        </w:rPr>
      </w:pPr>
      <w:r>
        <w:rPr>
          <w:rFonts w:ascii="仿宋_GB2312" w:hAnsi="仿宋_GB2312" w:cs="仿宋_GB2312" w:hint="eastAsia"/>
          <w:szCs w:val="32"/>
        </w:rPr>
        <w:t>国家税务总局贵阳国家高新技术产业开发区税务局</w:t>
      </w:r>
    </w:p>
    <w:p w:rsidR="004D25E5" w:rsidRDefault="00BA5164">
      <w:pPr>
        <w:tabs>
          <w:tab w:val="left" w:pos="4686"/>
        </w:tabs>
        <w:spacing w:line="560" w:lineRule="exact"/>
        <w:jc w:val="left"/>
        <w:rPr>
          <w:rFonts w:ascii="仿宋_GB2312" w:hAnsi="仿宋_GB2312" w:cs="仿宋_GB2312"/>
          <w:szCs w:val="32"/>
        </w:rPr>
      </w:pPr>
      <w:r>
        <w:rPr>
          <w:rFonts w:ascii="仿宋_GB2312" w:hAnsi="仿宋_GB2312" w:cs="仿宋_GB2312" w:hint="eastAsia"/>
          <w:szCs w:val="32"/>
        </w:rPr>
        <w:t xml:space="preserve">                           2023年1月19日    </w:t>
      </w:r>
    </w:p>
    <w:sectPr w:rsidR="004D25E5">
      <w:footerReference w:type="even" r:id="rId9"/>
      <w:footerReference w:type="default" r:id="rId10"/>
      <w:type w:val="continuous"/>
      <w:pgSz w:w="11906" w:h="16838"/>
      <w:pgMar w:top="1440" w:right="1800" w:bottom="1440" w:left="1800" w:header="851" w:footer="992" w:gutter="0"/>
      <w:pgNumType w:fmt="numberInDash" w:start="1"/>
      <w:cols w:space="425"/>
      <w:docGrid w:type="lines" w:linePitch="4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5A48" w:rsidRDefault="002C5A48">
      <w:r>
        <w:separator/>
      </w:r>
    </w:p>
  </w:endnote>
  <w:endnote w:type="continuationSeparator" w:id="0">
    <w:p w:rsidR="002C5A48" w:rsidRDefault="002C5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0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黑体"/>
    <w:charset w:val="86"/>
    <w:family w:val="auto"/>
    <w:pitch w:val="default"/>
    <w:sig w:usb0="00000000" w:usb1="00000000" w:usb2="00000000" w:usb3="00000000" w:csb0="00040000" w:csb1="00000000"/>
  </w:font>
  <w:font w:name="微软雅黑">
    <w:panose1 w:val="020B0503020204020204"/>
    <w:charset w:val="86"/>
    <w:family w:val="swiss"/>
    <w:pitch w:val="variable"/>
    <w:sig w:usb0="80000287" w:usb1="280F3C52" w:usb2="00000016" w:usb3="00000000" w:csb0="0004001F" w:csb1="00000000"/>
  </w:font>
  <w:font w:name="楷体_GB2312">
    <w:altName w:val="楷体"/>
    <w:charset w:val="86"/>
    <w:family w:val="modern"/>
    <w:pitch w:val="default"/>
    <w:sig w:usb0="00000000" w:usb1="00000000" w:usb2="00000000" w:usb3="00000000" w:csb0="00040000" w:csb1="00000000"/>
  </w:font>
  <w:font w:name="方正粗黑宋简体">
    <w:altName w:val="宋体"/>
    <w:panose1 w:val="02000000000000000000"/>
    <w:charset w:val="86"/>
    <w:family w:val="auto"/>
    <w:pitch w:val="variable"/>
    <w:sig w:usb0="A00002BF" w:usb1="184F6CFA" w:usb2="00000012"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574642"/>
    </w:sdtPr>
    <w:sdtEndPr/>
    <w:sdtContent>
      <w:p w:rsidR="004D25E5" w:rsidRDefault="00BA5164">
        <w:pPr>
          <w:pStyle w:val="a5"/>
        </w:pPr>
        <w:r>
          <w:rPr>
            <w:rFonts w:ascii="宋体" w:eastAsia="宋体" w:hAnsi="宋体"/>
            <w:sz w:val="28"/>
            <w:szCs w:val="28"/>
          </w:rPr>
          <w:fldChar w:fldCharType="begin"/>
        </w:r>
        <w:r>
          <w:rPr>
            <w:rFonts w:ascii="宋体" w:eastAsia="宋体" w:hAnsi="宋体"/>
            <w:sz w:val="28"/>
            <w:szCs w:val="28"/>
          </w:rPr>
          <w:instrText xml:space="preserve"> PAGE   \* MERGEFORMAT </w:instrText>
        </w:r>
        <w:r>
          <w:rPr>
            <w:rFonts w:ascii="宋体" w:eastAsia="宋体" w:hAnsi="宋体"/>
            <w:sz w:val="28"/>
            <w:szCs w:val="28"/>
          </w:rPr>
          <w:fldChar w:fldCharType="separate"/>
        </w:r>
        <w:r w:rsidR="0078798F" w:rsidRPr="0078798F">
          <w:rPr>
            <w:rFonts w:ascii="宋体" w:eastAsia="宋体" w:hAnsi="宋体"/>
            <w:noProof/>
            <w:sz w:val="28"/>
            <w:szCs w:val="28"/>
            <w:lang w:val="zh-CN"/>
          </w:rPr>
          <w:t>-</w:t>
        </w:r>
        <w:r w:rsidR="0078798F">
          <w:rPr>
            <w:rFonts w:ascii="宋体" w:eastAsia="宋体" w:hAnsi="宋体"/>
            <w:noProof/>
            <w:sz w:val="28"/>
            <w:szCs w:val="28"/>
          </w:rPr>
          <w:t xml:space="preserve"> 6 -</w:t>
        </w:r>
        <w:r>
          <w:rPr>
            <w:rFonts w:ascii="宋体" w:eastAsia="宋体" w:hAnsi="宋体"/>
            <w:sz w:val="28"/>
            <w:szCs w:val="28"/>
          </w:rPr>
          <w:fldChar w:fldCharType="end"/>
        </w:r>
      </w:p>
    </w:sdtContent>
  </w:sdt>
  <w:p w:rsidR="004D25E5" w:rsidRDefault="004D25E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574641"/>
    </w:sdtPr>
    <w:sdtEndPr/>
    <w:sdtContent>
      <w:p w:rsidR="004D25E5" w:rsidRDefault="00BA5164">
        <w:pPr>
          <w:pStyle w:val="a5"/>
          <w:jc w:val="right"/>
        </w:pPr>
        <w:r>
          <w:rPr>
            <w:rFonts w:ascii="宋体" w:eastAsia="宋体" w:hAnsi="宋体"/>
            <w:sz w:val="28"/>
            <w:szCs w:val="28"/>
          </w:rPr>
          <w:fldChar w:fldCharType="begin"/>
        </w:r>
        <w:r>
          <w:rPr>
            <w:rFonts w:ascii="宋体" w:eastAsia="宋体" w:hAnsi="宋体"/>
            <w:sz w:val="28"/>
            <w:szCs w:val="28"/>
          </w:rPr>
          <w:instrText xml:space="preserve"> PAGE   \* MERGEFORMAT </w:instrText>
        </w:r>
        <w:r>
          <w:rPr>
            <w:rFonts w:ascii="宋体" w:eastAsia="宋体" w:hAnsi="宋体"/>
            <w:sz w:val="28"/>
            <w:szCs w:val="28"/>
          </w:rPr>
          <w:fldChar w:fldCharType="separate"/>
        </w:r>
        <w:r w:rsidR="0078798F" w:rsidRPr="0078798F">
          <w:rPr>
            <w:rFonts w:ascii="宋体" w:eastAsia="宋体" w:hAnsi="宋体"/>
            <w:noProof/>
            <w:sz w:val="28"/>
            <w:szCs w:val="28"/>
            <w:lang w:val="zh-CN"/>
          </w:rPr>
          <w:t>-</w:t>
        </w:r>
        <w:r w:rsidR="0078798F">
          <w:rPr>
            <w:rFonts w:ascii="宋体" w:eastAsia="宋体" w:hAnsi="宋体"/>
            <w:noProof/>
            <w:sz w:val="28"/>
            <w:szCs w:val="28"/>
          </w:rPr>
          <w:t xml:space="preserve"> 5 -</w:t>
        </w:r>
        <w:r>
          <w:rPr>
            <w:rFonts w:ascii="宋体" w:eastAsia="宋体" w:hAnsi="宋体"/>
            <w:sz w:val="28"/>
            <w:szCs w:val="28"/>
          </w:rPr>
          <w:fldChar w:fldCharType="end"/>
        </w:r>
      </w:p>
    </w:sdtContent>
  </w:sdt>
  <w:p w:rsidR="004D25E5" w:rsidRDefault="004D25E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5A48" w:rsidRDefault="002C5A48">
      <w:r>
        <w:separator/>
      </w:r>
    </w:p>
  </w:footnote>
  <w:footnote w:type="continuationSeparator" w:id="0">
    <w:p w:rsidR="002C5A48" w:rsidRDefault="002C5A4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647484"/>
    <w:multiLevelType w:val="hybridMultilevel"/>
    <w:tmpl w:val="C57CB8FE"/>
    <w:lvl w:ilvl="0" w:tplc="A5F4EBE8">
      <w:start w:val="1"/>
      <w:numFmt w:val="japaneseCounting"/>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evenAndOddHeaders/>
  <w:drawingGridHorizontalSpacing w:val="160"/>
  <w:drawingGridVerticalSpacing w:val="4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0A9E"/>
    <w:rsid w:val="0000339B"/>
    <w:rsid w:val="00011E47"/>
    <w:rsid w:val="00024B7E"/>
    <w:rsid w:val="00034128"/>
    <w:rsid w:val="000412DD"/>
    <w:rsid w:val="0008557E"/>
    <w:rsid w:val="000A2E27"/>
    <w:rsid w:val="000C2DB1"/>
    <w:rsid w:val="000E1D9D"/>
    <w:rsid w:val="000F3FC7"/>
    <w:rsid w:val="000F70C9"/>
    <w:rsid w:val="00100F30"/>
    <w:rsid w:val="001123E2"/>
    <w:rsid w:val="00124E93"/>
    <w:rsid w:val="00136B00"/>
    <w:rsid w:val="001403AA"/>
    <w:rsid w:val="00154C2E"/>
    <w:rsid w:val="001660FE"/>
    <w:rsid w:val="00173134"/>
    <w:rsid w:val="00182072"/>
    <w:rsid w:val="00197D64"/>
    <w:rsid w:val="001F5BE2"/>
    <w:rsid w:val="00200C40"/>
    <w:rsid w:val="00230ABD"/>
    <w:rsid w:val="0023529F"/>
    <w:rsid w:val="00262290"/>
    <w:rsid w:val="002722A9"/>
    <w:rsid w:val="002B1A42"/>
    <w:rsid w:val="002B5D4C"/>
    <w:rsid w:val="002C5A48"/>
    <w:rsid w:val="002D46B4"/>
    <w:rsid w:val="002F1489"/>
    <w:rsid w:val="00317C32"/>
    <w:rsid w:val="00321B83"/>
    <w:rsid w:val="00323C71"/>
    <w:rsid w:val="0033607B"/>
    <w:rsid w:val="00355A23"/>
    <w:rsid w:val="003B5952"/>
    <w:rsid w:val="003C02B8"/>
    <w:rsid w:val="003C5A25"/>
    <w:rsid w:val="003E6700"/>
    <w:rsid w:val="003F0A9E"/>
    <w:rsid w:val="003F45D6"/>
    <w:rsid w:val="003F550D"/>
    <w:rsid w:val="003F795E"/>
    <w:rsid w:val="00411F48"/>
    <w:rsid w:val="0044057D"/>
    <w:rsid w:val="0045736E"/>
    <w:rsid w:val="004749FC"/>
    <w:rsid w:val="00485343"/>
    <w:rsid w:val="004A789F"/>
    <w:rsid w:val="004B384F"/>
    <w:rsid w:val="004C22EA"/>
    <w:rsid w:val="004D25E5"/>
    <w:rsid w:val="005371E3"/>
    <w:rsid w:val="005505FD"/>
    <w:rsid w:val="005A1CF6"/>
    <w:rsid w:val="005A2D01"/>
    <w:rsid w:val="005A5BDE"/>
    <w:rsid w:val="005D0E9B"/>
    <w:rsid w:val="00642716"/>
    <w:rsid w:val="0068282D"/>
    <w:rsid w:val="00692BB4"/>
    <w:rsid w:val="006C2D28"/>
    <w:rsid w:val="006F5B8C"/>
    <w:rsid w:val="00704EC4"/>
    <w:rsid w:val="00743881"/>
    <w:rsid w:val="0078798F"/>
    <w:rsid w:val="007A2D2A"/>
    <w:rsid w:val="007C2EFC"/>
    <w:rsid w:val="00805B6D"/>
    <w:rsid w:val="008140AF"/>
    <w:rsid w:val="008308CE"/>
    <w:rsid w:val="00841147"/>
    <w:rsid w:val="008D09B7"/>
    <w:rsid w:val="008F4696"/>
    <w:rsid w:val="008F5E89"/>
    <w:rsid w:val="0090408B"/>
    <w:rsid w:val="009237E2"/>
    <w:rsid w:val="00955E4A"/>
    <w:rsid w:val="009E2C6E"/>
    <w:rsid w:val="009F6849"/>
    <w:rsid w:val="00A03762"/>
    <w:rsid w:val="00A14648"/>
    <w:rsid w:val="00A35835"/>
    <w:rsid w:val="00A93598"/>
    <w:rsid w:val="00A97C3C"/>
    <w:rsid w:val="00AE2A70"/>
    <w:rsid w:val="00AF0E73"/>
    <w:rsid w:val="00AF26FA"/>
    <w:rsid w:val="00AF53EA"/>
    <w:rsid w:val="00B039C2"/>
    <w:rsid w:val="00B253CD"/>
    <w:rsid w:val="00B33276"/>
    <w:rsid w:val="00B63FEA"/>
    <w:rsid w:val="00B91952"/>
    <w:rsid w:val="00BA5164"/>
    <w:rsid w:val="00BC166D"/>
    <w:rsid w:val="00BD5ABE"/>
    <w:rsid w:val="00C1154B"/>
    <w:rsid w:val="00C12A58"/>
    <w:rsid w:val="00C50E25"/>
    <w:rsid w:val="00C663BD"/>
    <w:rsid w:val="00C81E55"/>
    <w:rsid w:val="00CB73D1"/>
    <w:rsid w:val="00CC1C6E"/>
    <w:rsid w:val="00D04B7B"/>
    <w:rsid w:val="00D230E1"/>
    <w:rsid w:val="00D24C60"/>
    <w:rsid w:val="00D61E75"/>
    <w:rsid w:val="00D847BA"/>
    <w:rsid w:val="00DA02C7"/>
    <w:rsid w:val="00DA04B7"/>
    <w:rsid w:val="00DA1251"/>
    <w:rsid w:val="00DD1234"/>
    <w:rsid w:val="00DF0F38"/>
    <w:rsid w:val="00E36C40"/>
    <w:rsid w:val="00E400CA"/>
    <w:rsid w:val="00E4310B"/>
    <w:rsid w:val="00EC5F1C"/>
    <w:rsid w:val="00F05554"/>
    <w:rsid w:val="00F247E4"/>
    <w:rsid w:val="00F40A0C"/>
    <w:rsid w:val="00F8195D"/>
    <w:rsid w:val="00FA164F"/>
    <w:rsid w:val="00FC37ED"/>
    <w:rsid w:val="00FD091E"/>
    <w:rsid w:val="00FE3943"/>
    <w:rsid w:val="00FE7662"/>
    <w:rsid w:val="00FF015F"/>
    <w:rsid w:val="066B7DB5"/>
    <w:rsid w:val="074C3FCE"/>
    <w:rsid w:val="07F007E7"/>
    <w:rsid w:val="08A37CCE"/>
    <w:rsid w:val="09AA08FB"/>
    <w:rsid w:val="12D058D5"/>
    <w:rsid w:val="13DD6F62"/>
    <w:rsid w:val="15CE5E96"/>
    <w:rsid w:val="17586E0F"/>
    <w:rsid w:val="179977C8"/>
    <w:rsid w:val="1B056BA8"/>
    <w:rsid w:val="1BAD456F"/>
    <w:rsid w:val="1CE4573C"/>
    <w:rsid w:val="251C59C4"/>
    <w:rsid w:val="25405080"/>
    <w:rsid w:val="28F46500"/>
    <w:rsid w:val="2E7B6BFC"/>
    <w:rsid w:val="32315548"/>
    <w:rsid w:val="353228EB"/>
    <w:rsid w:val="3553088B"/>
    <w:rsid w:val="380426D3"/>
    <w:rsid w:val="401F0E4B"/>
    <w:rsid w:val="4678767A"/>
    <w:rsid w:val="4B2A7EAE"/>
    <w:rsid w:val="4C611946"/>
    <w:rsid w:val="4EE0626D"/>
    <w:rsid w:val="50CB6994"/>
    <w:rsid w:val="56716875"/>
    <w:rsid w:val="5742230B"/>
    <w:rsid w:val="598D78E2"/>
    <w:rsid w:val="601D2666"/>
    <w:rsid w:val="61731B0D"/>
    <w:rsid w:val="61F106D8"/>
    <w:rsid w:val="63B55F9C"/>
    <w:rsid w:val="69086EDA"/>
    <w:rsid w:val="6FCB5DA3"/>
    <w:rsid w:val="6FE76893"/>
    <w:rsid w:val="71F64E7C"/>
    <w:rsid w:val="75BA095A"/>
    <w:rsid w:val="75D93493"/>
    <w:rsid w:val="76EA58F6"/>
    <w:rsid w:val="7D1663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semiHidden="0" w:qFormat="1"/>
    <w:lsdException w:name="caption" w:uiPriority="35" w:qFormat="1"/>
    <w:lsdException w:name="Title" w:semiHidden="0" w:uiPriority="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rFonts w:ascii="Calibri" w:eastAsia="仿宋_GB2312" w:hAnsi="Calibri" w:cs="Times New Roman"/>
      <w:kern w:val="2"/>
      <w:sz w:val="3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itle"/>
    <w:next w:val="a"/>
    <w:qFormat/>
    <w:pPr>
      <w:widowControl w:val="0"/>
      <w:spacing w:before="209" w:after="209" w:line="0" w:lineRule="atLeast"/>
      <w:jc w:val="center"/>
    </w:pPr>
    <w:rPr>
      <w:rFonts w:ascii="Arial" w:eastAsia="黑体" w:hAnsi="Arial" w:cs="Times New Roman"/>
      <w:kern w:val="2"/>
      <w:sz w:val="52"/>
      <w:szCs w:val="32"/>
    </w:rPr>
  </w:style>
  <w:style w:type="paragraph" w:styleId="a4">
    <w:name w:val="Balloon Text"/>
    <w:basedOn w:val="a"/>
    <w:link w:val="Char"/>
    <w:uiPriority w:val="99"/>
    <w:semiHidden/>
    <w:unhideWhenUsed/>
    <w:qFormat/>
    <w:rPr>
      <w:sz w:val="18"/>
      <w:szCs w:val="18"/>
    </w:rPr>
  </w:style>
  <w:style w:type="paragraph" w:styleId="a5">
    <w:name w:val="footer"/>
    <w:basedOn w:val="a"/>
    <w:link w:val="Char0"/>
    <w:uiPriority w:val="99"/>
    <w:unhideWhenUsed/>
    <w:qFormat/>
    <w:pPr>
      <w:tabs>
        <w:tab w:val="center" w:pos="4153"/>
        <w:tab w:val="right" w:pos="8306"/>
      </w:tabs>
      <w:snapToGrid w:val="0"/>
      <w:jc w:val="left"/>
    </w:pPr>
    <w:rPr>
      <w:sz w:val="18"/>
      <w:szCs w:val="18"/>
    </w:rPr>
  </w:style>
  <w:style w:type="paragraph" w:styleId="a6">
    <w:name w:val="header"/>
    <w:basedOn w:val="a"/>
    <w:link w:val="Char1"/>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qFormat/>
    <w:pPr>
      <w:spacing w:beforeAutospacing="1" w:afterAutospacing="1"/>
      <w:jc w:val="left"/>
    </w:pPr>
    <w:rPr>
      <w:kern w:val="0"/>
      <w:sz w:val="24"/>
      <w:szCs w:val="24"/>
    </w:rPr>
  </w:style>
  <w:style w:type="paragraph" w:customStyle="1" w:styleId="1">
    <w:name w:val="列表段落1"/>
    <w:basedOn w:val="a"/>
    <w:uiPriority w:val="34"/>
    <w:qFormat/>
    <w:pPr>
      <w:ind w:firstLineChars="200" w:firstLine="420"/>
    </w:pPr>
    <w:rPr>
      <w:rFonts w:eastAsia="宋体"/>
    </w:rPr>
  </w:style>
  <w:style w:type="character" w:customStyle="1" w:styleId="dhgao">
    <w:name w:val="dhgao"/>
    <w:basedOn w:val="a1"/>
    <w:qFormat/>
  </w:style>
  <w:style w:type="character" w:customStyle="1" w:styleId="Char">
    <w:name w:val="批注框文本 Char"/>
    <w:basedOn w:val="a1"/>
    <w:link w:val="a4"/>
    <w:uiPriority w:val="99"/>
    <w:semiHidden/>
    <w:qFormat/>
    <w:rPr>
      <w:rFonts w:ascii="Calibri" w:eastAsia="仿宋_GB2312" w:hAnsi="Calibri" w:cs="Times New Roman"/>
      <w:sz w:val="18"/>
      <w:szCs w:val="18"/>
    </w:rPr>
  </w:style>
  <w:style w:type="character" w:customStyle="1" w:styleId="Char1">
    <w:name w:val="页眉 Char"/>
    <w:basedOn w:val="a1"/>
    <w:link w:val="a6"/>
    <w:uiPriority w:val="99"/>
    <w:semiHidden/>
    <w:qFormat/>
    <w:rPr>
      <w:rFonts w:ascii="Calibri" w:eastAsia="仿宋_GB2312" w:hAnsi="Calibri" w:cs="Times New Roman"/>
      <w:sz w:val="18"/>
      <w:szCs w:val="18"/>
    </w:rPr>
  </w:style>
  <w:style w:type="character" w:customStyle="1" w:styleId="Char0">
    <w:name w:val="页脚 Char"/>
    <w:basedOn w:val="a1"/>
    <w:link w:val="a5"/>
    <w:uiPriority w:val="99"/>
    <w:qFormat/>
    <w:rPr>
      <w:rFonts w:ascii="Calibri" w:eastAsia="仿宋_GB2312" w:hAnsi="Calibri" w:cs="Times New Roman"/>
      <w:sz w:val="18"/>
      <w:szCs w:val="18"/>
    </w:rPr>
  </w:style>
  <w:style w:type="paragraph" w:styleId="a8">
    <w:name w:val="List Paragraph"/>
    <w:basedOn w:val="a"/>
    <w:uiPriority w:val="99"/>
    <w:unhideWhenUsed/>
    <w:rsid w:val="00C50E25"/>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semiHidden="0" w:qFormat="1"/>
    <w:lsdException w:name="caption" w:uiPriority="35" w:qFormat="1"/>
    <w:lsdException w:name="Title" w:semiHidden="0" w:uiPriority="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rFonts w:ascii="Calibri" w:eastAsia="仿宋_GB2312" w:hAnsi="Calibri" w:cs="Times New Roman"/>
      <w:kern w:val="2"/>
      <w:sz w:val="3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itle"/>
    <w:next w:val="a"/>
    <w:qFormat/>
    <w:pPr>
      <w:widowControl w:val="0"/>
      <w:spacing w:before="209" w:after="209" w:line="0" w:lineRule="atLeast"/>
      <w:jc w:val="center"/>
    </w:pPr>
    <w:rPr>
      <w:rFonts w:ascii="Arial" w:eastAsia="黑体" w:hAnsi="Arial" w:cs="Times New Roman"/>
      <w:kern w:val="2"/>
      <w:sz w:val="52"/>
      <w:szCs w:val="32"/>
    </w:rPr>
  </w:style>
  <w:style w:type="paragraph" w:styleId="a4">
    <w:name w:val="Balloon Text"/>
    <w:basedOn w:val="a"/>
    <w:link w:val="Char"/>
    <w:uiPriority w:val="99"/>
    <w:semiHidden/>
    <w:unhideWhenUsed/>
    <w:qFormat/>
    <w:rPr>
      <w:sz w:val="18"/>
      <w:szCs w:val="18"/>
    </w:rPr>
  </w:style>
  <w:style w:type="paragraph" w:styleId="a5">
    <w:name w:val="footer"/>
    <w:basedOn w:val="a"/>
    <w:link w:val="Char0"/>
    <w:uiPriority w:val="99"/>
    <w:unhideWhenUsed/>
    <w:qFormat/>
    <w:pPr>
      <w:tabs>
        <w:tab w:val="center" w:pos="4153"/>
        <w:tab w:val="right" w:pos="8306"/>
      </w:tabs>
      <w:snapToGrid w:val="0"/>
      <w:jc w:val="left"/>
    </w:pPr>
    <w:rPr>
      <w:sz w:val="18"/>
      <w:szCs w:val="18"/>
    </w:rPr>
  </w:style>
  <w:style w:type="paragraph" w:styleId="a6">
    <w:name w:val="header"/>
    <w:basedOn w:val="a"/>
    <w:link w:val="Char1"/>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qFormat/>
    <w:pPr>
      <w:spacing w:beforeAutospacing="1" w:afterAutospacing="1"/>
      <w:jc w:val="left"/>
    </w:pPr>
    <w:rPr>
      <w:kern w:val="0"/>
      <w:sz w:val="24"/>
      <w:szCs w:val="24"/>
    </w:rPr>
  </w:style>
  <w:style w:type="paragraph" w:customStyle="1" w:styleId="1">
    <w:name w:val="列表段落1"/>
    <w:basedOn w:val="a"/>
    <w:uiPriority w:val="34"/>
    <w:qFormat/>
    <w:pPr>
      <w:ind w:firstLineChars="200" w:firstLine="420"/>
    </w:pPr>
    <w:rPr>
      <w:rFonts w:eastAsia="宋体"/>
    </w:rPr>
  </w:style>
  <w:style w:type="character" w:customStyle="1" w:styleId="dhgao">
    <w:name w:val="dhgao"/>
    <w:basedOn w:val="a1"/>
    <w:qFormat/>
  </w:style>
  <w:style w:type="character" w:customStyle="1" w:styleId="Char">
    <w:name w:val="批注框文本 Char"/>
    <w:basedOn w:val="a1"/>
    <w:link w:val="a4"/>
    <w:uiPriority w:val="99"/>
    <w:semiHidden/>
    <w:qFormat/>
    <w:rPr>
      <w:rFonts w:ascii="Calibri" w:eastAsia="仿宋_GB2312" w:hAnsi="Calibri" w:cs="Times New Roman"/>
      <w:sz w:val="18"/>
      <w:szCs w:val="18"/>
    </w:rPr>
  </w:style>
  <w:style w:type="character" w:customStyle="1" w:styleId="Char1">
    <w:name w:val="页眉 Char"/>
    <w:basedOn w:val="a1"/>
    <w:link w:val="a6"/>
    <w:uiPriority w:val="99"/>
    <w:semiHidden/>
    <w:qFormat/>
    <w:rPr>
      <w:rFonts w:ascii="Calibri" w:eastAsia="仿宋_GB2312" w:hAnsi="Calibri" w:cs="Times New Roman"/>
      <w:sz w:val="18"/>
      <w:szCs w:val="18"/>
    </w:rPr>
  </w:style>
  <w:style w:type="character" w:customStyle="1" w:styleId="Char0">
    <w:name w:val="页脚 Char"/>
    <w:basedOn w:val="a1"/>
    <w:link w:val="a5"/>
    <w:uiPriority w:val="99"/>
    <w:qFormat/>
    <w:rPr>
      <w:rFonts w:ascii="Calibri" w:eastAsia="仿宋_GB2312" w:hAnsi="Calibri" w:cs="Times New Roman"/>
      <w:sz w:val="18"/>
      <w:szCs w:val="18"/>
    </w:rPr>
  </w:style>
  <w:style w:type="paragraph" w:styleId="a8">
    <w:name w:val="List Paragraph"/>
    <w:basedOn w:val="a"/>
    <w:uiPriority w:val="99"/>
    <w:unhideWhenUsed/>
    <w:rsid w:val="00C50E25"/>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7</Pages>
  <Words>454</Words>
  <Characters>2591</Characters>
  <Application>Microsoft Office Word</Application>
  <DocSecurity>0</DocSecurity>
  <Lines>21</Lines>
  <Paragraphs>6</Paragraphs>
  <ScaleCrop>false</ScaleCrop>
  <Company>Microsoft</Company>
  <LinksUpToDate>false</LinksUpToDate>
  <CharactersWithSpaces>3039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马祖狄</dc:creator>
  <cp:lastModifiedBy>Windows 用户</cp:lastModifiedBy>
  <cp:revision>6</cp:revision>
  <cp:lastPrinted>2023-01-16T01:15:00Z</cp:lastPrinted>
  <dcterms:created xsi:type="dcterms:W3CDTF">2021-02-02T04:45:00Z</dcterms:created>
  <dcterms:modified xsi:type="dcterms:W3CDTF">2023-02-09T06:42:00Z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