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88" w:rsidRDefault="00906727">
      <w:pPr>
        <w:pStyle w:val="1"/>
        <w:snapToGrid w:val="0"/>
        <w:spacing w:before="20" w:after="20" w:line="540" w:lineRule="exact"/>
        <w:jc w:val="center"/>
        <w:rPr>
          <w:rFonts w:ascii="方正小标宋简体" w:eastAsia="方正小标宋简体" w:hAnsi="方正小标宋简体" w:cs="方正小标宋简体"/>
          <w:b w:val="0"/>
          <w:bCs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</w:rPr>
        <w:t>国家税务总局贵阳市南明区税务局</w:t>
      </w:r>
    </w:p>
    <w:p w:rsidR="003B7988" w:rsidRDefault="00906727">
      <w:pPr>
        <w:pStyle w:val="1"/>
        <w:snapToGrid w:val="0"/>
        <w:spacing w:before="20" w:after="20" w:line="540" w:lineRule="exact"/>
        <w:jc w:val="center"/>
        <w:rPr>
          <w:rFonts w:ascii="方正小标宋简体" w:eastAsia="方正小标宋简体" w:hAnsi="方正小标宋简体" w:cs="方正小标宋简体"/>
          <w:b w:val="0"/>
          <w:bCs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</w:rPr>
        <w:t>20</w:t>
      </w:r>
      <w:r>
        <w:rPr>
          <w:rFonts w:ascii="方正小标宋简体" w:eastAsia="方正小标宋简体" w:hAnsi="方正小标宋简体" w:cs="方正小标宋简体"/>
          <w:b w:val="0"/>
          <w:bCs/>
        </w:rPr>
        <w:t>22</w:t>
      </w:r>
      <w:r>
        <w:rPr>
          <w:rFonts w:ascii="方正小标宋简体" w:eastAsia="方正小标宋简体" w:hAnsi="方正小标宋简体" w:cs="方正小标宋简体" w:hint="eastAsia"/>
          <w:b w:val="0"/>
          <w:bCs/>
        </w:rPr>
        <w:t>年政府信息公开工作年度报告</w:t>
      </w:r>
    </w:p>
    <w:p w:rsidR="003B7988" w:rsidRDefault="003B7988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3B7988" w:rsidRDefault="00906727">
      <w:pPr>
        <w:wordWrap w:val="0"/>
        <w:topLinePunct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报告根据《中华人民共和国政府信息公开条例》等要求编制。全文包括总体情况、主动公开政府信息情况、收到和处理政府信息公开申请情况、政府信息公开行政复议、行政诉讼情况、存在的主要问题及改进措施和其他需要报告事项。报告中所列数据为国家税务总局贵阳市南明区税务局的20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年整年数据，统计期限自2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年1月1日起至202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年12月31日止。报告电子版可在国家税务总局贵州省税务局网站（https://guizhou.chinatax.gov.cn/）查阅。</w:t>
      </w:r>
      <w:r>
        <w:rPr>
          <w:rFonts w:ascii="仿宋_GB2312" w:eastAsia="仿宋_GB2312" w:hint="eastAsia"/>
          <w:spacing w:val="4"/>
          <w:sz w:val="32"/>
          <w:szCs w:val="32"/>
        </w:rPr>
        <w:t>如有疑问请致电国家税务总局贵阳市南明区税务局（联系电话：0851-85207010），竭诚欢迎您的关注支持和批评监督！</w:t>
      </w:r>
    </w:p>
    <w:p w:rsidR="003B7988" w:rsidRDefault="00906727">
      <w:pPr>
        <w:numPr>
          <w:ilvl w:val="0"/>
          <w:numId w:val="1"/>
        </w:numPr>
        <w:spacing w:line="54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总体情况</w:t>
      </w:r>
    </w:p>
    <w:p w:rsidR="003B7988" w:rsidRDefault="00906727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税务总局贵阳市南明区税务局（以下简称“南明区税务局”）全面落实党中央、国务院关于全面推进政务公开工作的决策部署和《中华人民共和国政府信息公开条例》，坚持“以公开为常态、不公开为例外”原则，加大主动公开力度，不断增强纳税人和缴费人满意度，持续优化营商环境。</w:t>
      </w:r>
    </w:p>
    <w:p w:rsidR="003B7988" w:rsidRDefault="00906727">
      <w:pPr>
        <w:numPr>
          <w:ilvl w:val="0"/>
          <w:numId w:val="2"/>
        </w:numPr>
        <w:spacing w:line="54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完善制度建设，有条不紊推进政务公开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南明区税务局党委高度重视政务信息的主动公开工作，注重保证政务信息公开的及时性、真实性、准确性。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规范发布流程，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在办理主动公开和申请公开时制作并留存工作底稿，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严格把关政务信息公开审核。</w:t>
      </w:r>
      <w:r>
        <w:rPr>
          <w:rFonts w:ascii="仿宋_GB2312" w:eastAsia="仿宋_GB2312" w:hAnsi="仿宋_GB2312" w:cs="仿宋_GB2312" w:hint="eastAsia"/>
          <w:sz w:val="32"/>
          <w:szCs w:val="32"/>
        </w:rPr>
        <w:t>细化区局各部门工作职责分工，规范区局政务信息公开工作。将政务公开工作纳入绩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效考核，进一步压实工作责任。</w:t>
      </w:r>
    </w:p>
    <w:p w:rsidR="003B7988" w:rsidRDefault="00906727">
      <w:pPr>
        <w:spacing w:line="5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（二）营造良好氛围，多管齐下做好主动公开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南明区税务局多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并举，积极做好主动公开工作。充分利用办税服务厅、电子显示屏、税企互动平台等途径对外公开涉税政务信息。202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年共自制宣传品</w:t>
      </w:r>
      <w:r>
        <w:rPr>
          <w:rFonts w:ascii="仿宋_GB2312" w:eastAsia="仿宋_GB2312" w:hAnsi="仿宋_GB2312" w:cs="仿宋_GB2312"/>
          <w:sz w:val="32"/>
          <w:szCs w:val="32"/>
        </w:rPr>
        <w:t>60837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通过微信或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QQ开展税收政策宣传6</w:t>
      </w:r>
      <w:r>
        <w:rPr>
          <w:rFonts w:ascii="仿宋_GB2312" w:eastAsia="仿宋_GB2312" w:hAnsi="仿宋_GB2312" w:cs="仿宋_GB2312"/>
          <w:sz w:val="32"/>
          <w:szCs w:val="32"/>
        </w:rPr>
        <w:t>4797</w:t>
      </w:r>
      <w:r>
        <w:rPr>
          <w:rFonts w:ascii="仿宋_GB2312" w:eastAsia="仿宋_GB2312" w:hAnsi="仿宋_GB2312" w:cs="仿宋_GB2312" w:hint="eastAsia"/>
          <w:sz w:val="32"/>
          <w:szCs w:val="32"/>
        </w:rPr>
        <w:t>户（次），电话宣传辅导</w:t>
      </w:r>
      <w:r>
        <w:rPr>
          <w:rFonts w:ascii="仿宋_GB2312" w:eastAsia="仿宋_GB2312" w:hAnsi="仿宋_GB2312" w:cs="仿宋_GB2312"/>
          <w:sz w:val="32"/>
          <w:szCs w:val="32"/>
        </w:rPr>
        <w:t>124</w:t>
      </w:r>
      <w:r>
        <w:rPr>
          <w:rFonts w:ascii="仿宋_GB2312" w:eastAsia="仿宋_GB2312" w:hAnsi="仿宋_GB2312" w:cs="仿宋_GB2312" w:hint="eastAsia"/>
          <w:sz w:val="32"/>
          <w:szCs w:val="32"/>
        </w:rPr>
        <w:t>户（次），上门辅导</w:t>
      </w:r>
      <w:r>
        <w:rPr>
          <w:rFonts w:ascii="仿宋_GB2312" w:eastAsia="仿宋_GB2312" w:hAnsi="仿宋_GB2312" w:cs="仿宋_GB2312"/>
          <w:sz w:val="32"/>
          <w:szCs w:val="32"/>
        </w:rPr>
        <w:t>1233</w:t>
      </w:r>
      <w:r>
        <w:rPr>
          <w:rFonts w:ascii="仿宋_GB2312" w:eastAsia="仿宋_GB2312" w:hAnsi="仿宋_GB2312" w:cs="仿宋_GB2312" w:hint="eastAsia"/>
          <w:sz w:val="32"/>
          <w:szCs w:val="32"/>
        </w:rPr>
        <w:t>户（次），税企互动平台直播培训</w:t>
      </w:r>
      <w:r>
        <w:rPr>
          <w:rFonts w:ascii="仿宋_GB2312" w:eastAsia="仿宋_GB2312" w:hAnsi="仿宋_GB2312" w:cs="仿宋_GB2312"/>
          <w:sz w:val="32"/>
          <w:szCs w:val="32"/>
        </w:rPr>
        <w:t>16227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人次，同时加强内部工作人员税收政策培训辅导，保障惠企利民政策及时送到纳税人缴费人手中。</w:t>
      </w:r>
    </w:p>
    <w:p w:rsidR="003B7988" w:rsidRDefault="00906727">
      <w:pPr>
        <w:spacing w:line="5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（三）加强平台建设，有效提升信息公开效率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在“南税易办”——“税企易通”理念指引下，南明区税务局持续强化“互联网+纳税服务”平台建设，积极推广“非接触式”办税缴费服务，让纳税人“多走网路，少跑马路”，依托电子税务局、税企互动平台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税视服务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通等途径帮助纳税人线上了解最新税收相关政策，使税企沟通更加便捷直接。依托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、动静A</w:t>
      </w:r>
      <w:r>
        <w:rPr>
          <w:rFonts w:ascii="仿宋_GB2312" w:eastAsia="仿宋_GB2312" w:hAnsi="仿宋_GB2312" w:cs="仿宋_GB2312"/>
          <w:sz w:val="32"/>
          <w:szCs w:val="32"/>
        </w:rPr>
        <w:t>PP</w:t>
      </w:r>
      <w:r>
        <w:rPr>
          <w:rFonts w:ascii="仿宋_GB2312" w:eastAsia="仿宋_GB2312" w:hAnsi="仿宋_GB2312" w:cs="仿宋_GB2312" w:hint="eastAsia"/>
          <w:sz w:val="32"/>
          <w:szCs w:val="32"/>
        </w:rPr>
        <w:t>等宣传新媒体平台，传递税务思想，创新宣传方式，扩大政策宣传影响力和覆盖面。</w:t>
      </w:r>
    </w:p>
    <w:p w:rsidR="003B7988" w:rsidRDefault="00906727">
      <w:pPr>
        <w:spacing w:line="5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（四）畅通保障渠道，规范信息发布与有效监督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南明区税务局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严格落实《税务机关政府信息公开申请办理规范》要求，规范依申请公开目录和依申请公开流程，扎实做好依申请公开工作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年南明区税务局未收到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信息公开申请。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南明区税务局通过公布政府信息公开电话、纳税服务投诉电话、税务干部违纪举报电话等方式不断完善监督机制，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畅通群众反馈渠道，保障政务公开工作有效性。</w:t>
      </w:r>
    </w:p>
    <w:p w:rsidR="003B7988" w:rsidRDefault="00906727">
      <w:pPr>
        <w:numPr>
          <w:ilvl w:val="0"/>
          <w:numId w:val="1"/>
        </w:numPr>
        <w:spacing w:line="54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3B7988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3B798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现行有效件数</w:t>
            </w:r>
          </w:p>
        </w:tc>
      </w:tr>
      <w:tr w:rsidR="003B798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B798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B798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3B798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3B798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t>11504</w:t>
            </w:r>
          </w:p>
        </w:tc>
      </w:tr>
      <w:tr w:rsidR="003B798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3B798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3B798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t>10767</w:t>
            </w:r>
          </w:p>
        </w:tc>
      </w:tr>
      <w:tr w:rsidR="003B798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3B798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B798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3B7988" w:rsidRDefault="00906727">
      <w:pPr>
        <w:pStyle w:val="a6"/>
        <w:widowControl/>
        <w:wordWrap w:val="0"/>
        <w:spacing w:before="16" w:beforeAutospacing="0" w:afterAutospacing="0" w:line="54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 w:rsidR="003B7988"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B7988">
        <w:trPr>
          <w:jc w:val="center"/>
        </w:trPr>
        <w:tc>
          <w:tcPr>
            <w:tcW w:w="49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B7988">
        <w:trPr>
          <w:jc w:val="center"/>
        </w:trPr>
        <w:tc>
          <w:tcPr>
            <w:tcW w:w="49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</w:tr>
      <w:tr w:rsidR="003B7988"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trHeight w:val="779"/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B7988"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7988" w:rsidRDefault="00906727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3B7988" w:rsidRDefault="00906727">
      <w:pPr>
        <w:pStyle w:val="a6"/>
        <w:widowControl/>
        <w:wordWrap w:val="0"/>
        <w:spacing w:before="16" w:beforeAutospacing="0" w:afterAutospacing="0" w:line="54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3B7988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B7988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B7988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3B7988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B7988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7988" w:rsidRDefault="00906727">
            <w:pPr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524149" w:rsidRPr="00524149" w:rsidRDefault="00906727">
      <w:pPr>
        <w:spacing w:line="540" w:lineRule="exact"/>
        <w:ind w:firstLineChars="200" w:firstLine="640"/>
        <w:rPr>
          <w:rFonts w:ascii="黑体" w:eastAsia="黑体" w:hAnsi="黑体" w:cs="Arial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524149" w:rsidRPr="00524149">
        <w:rPr>
          <w:rFonts w:ascii="黑体" w:eastAsia="黑体" w:hAnsi="黑体" w:cs="Arial"/>
          <w:color w:val="000000"/>
          <w:sz w:val="32"/>
          <w:szCs w:val="32"/>
        </w:rPr>
        <w:t>存在的主要问题及改进情况</w:t>
      </w:r>
    </w:p>
    <w:p w:rsidR="003B7988" w:rsidRDefault="00906727" w:rsidP="0052414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年度南明区税务局不断提升政务公开意识、完善政务公开方式、扩大政务公开范围，取得了一定的成效，但仍然存在一些问题：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一是政务信息公开敏感性有待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增强。下一步，南明区税务局将继续加强政务信息公开的业务培训和知识检验，提高工作人员素质，提升信息公开规范性意识。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二是公开辐射性还需进一步提高。202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年，南明区税务局将采取切实有效措施加以改进，根据政务公开相关规定，进一步健全完善政务公开工作机制，提升政务公开工作效能。</w:t>
      </w:r>
    </w:p>
    <w:p w:rsidR="003B7988" w:rsidRDefault="00906727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南明区税务局认真按照《2022年贵州税务系统政务公开重点任务分解表》相关要求，结合区局实际，严格落实各项工作任务，具体情况如下：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（一）以公开助力经济平稳健康发展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南明区税务局将不折不扣落实好各项退税减税降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费政策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特别是大规模增值税留抵退税政策的宣传辅导作为重点工作任务。自制《大方姐说税法》《明白缴费》等系列宣传视频，在动静贵州、贵州综合广播、今日头条、贵阳税务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等多个媒体平台播放，使政策宣传辐射面更广。通过办税大厅LED电子显示屏、公告栏、电话、QQ群、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、纳税人学堂等方式强化政策发布解读，为纳税人厘清政策脉络。提升12366、12345咨询投诉热线运行效率，更好适应不同纳税人缴费人的信息获取习惯，使政策宣传辅导无死角。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（二）提高税费政策公开质量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做好信息管理。对照国家法律法规数据库公布的法律、行政法规正式版本，及时更新相关文本，对现行有效的规章、税务规范性文件进行全面梳理。二是加强执法公开。依托行政执法公示平台加强事前、事中、事后公开和主动公开。三是扩大公开范围。利用各类公开途径对涉及纳税人缴费人利益调整、需要社会公众广泛知晓或参与决策的政府信息进行主动公开。四是提高工作质量。落实《税务机关政府信息公开申请办理规范》，对依申请公开的信息优化内部办理流程，缩短办理时限，提高答复质量，及时满足申请人的合理需求。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（三）夯实公开工作基础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一是规范执行政府信息公开制度。南明区税务局不断在工作中强化政务公开规范性意识，严格执行政府信息公开保密审查制度，对拟公开的信息依法依规严格做好审查，防止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泄露重要信息，引发泄密风险。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二是灵活运用多样化的公开方式。根据拟公开的信息内容和受众对象，合理的选择办税大厅、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QQ、电话短信及其他互联网渠道等公开媒介，做好重要税费政策的发布解读，打造“线上+线下”的立体式宣传架构。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是持续强化公开平台建设。推进新媒体宣传矩阵建设，强化协同配合，充分利用新媒体形式新颖、接受度高、观看便捷的优点，积极开拓新的税务宣传阵地，发出税务声音。2022年，南明区税务局在中央级媒体发表原创稿件11条，省市级媒体发表225条，在贵州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税务局官网市级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频道通知公告和工作动态栏发表376条，在贵阳市税务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微信公众号发布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39条。自制纳税服务主题说唱MV《南税易办》在多个媒体平台展播，收获了来自社会各界认可。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（四）强化工作指导监督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南明区税务局严格落实信息发布、政策解读和涉税舆情回应主体责任，积极主动做好重大政策宣传解读工作，为群众解疑释惑，充分开展评估，确保政策优惠应享尽享。扎实做好涉税舆情监测和风险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判，了解群众之惑，解决群众所需，积极回应社会关切。</w:t>
      </w:r>
    </w:p>
    <w:p w:rsidR="003B7988" w:rsidRDefault="009067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2022年全国税务系统政务公开重点任务清单》，梳理区局政务公开重点工作任务，明确责任主体和工作要求，逐项推动落实。同时对上一年度政务公开重点任务落实情况开展回头看，逐项核查落实情况，未完成的进行督促整改。</w:t>
      </w:r>
    </w:p>
    <w:p w:rsidR="003B7988" w:rsidRDefault="003B7988">
      <w:pPr>
        <w:pStyle w:val="a6"/>
        <w:widowControl/>
        <w:wordWrap w:val="0"/>
        <w:spacing w:beforeAutospacing="0" w:after="300" w:afterAutospacing="0" w:line="360" w:lineRule="auto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3B7988" w:rsidRDefault="003B7988">
      <w:pPr>
        <w:pStyle w:val="a6"/>
        <w:widowControl/>
        <w:wordWrap w:val="0"/>
        <w:spacing w:beforeAutospacing="0" w:after="300" w:afterAutospacing="0" w:line="360" w:lineRule="auto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3B7988" w:rsidRDefault="00906727">
      <w:pPr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国家税务总局贵阳市南明区税务局</w:t>
      </w:r>
    </w:p>
    <w:p w:rsidR="003B7988" w:rsidRDefault="00906727">
      <w:pPr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年1月</w:t>
      </w:r>
      <w:r>
        <w:rPr>
          <w:rFonts w:ascii="仿宋_GB2312" w:eastAsia="仿宋_GB2312" w:hAnsi="仿宋_GB2312" w:cs="仿宋_GB2312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B7988" w:rsidRDefault="003B7988">
      <w:pPr>
        <w:pStyle w:val="a6"/>
        <w:widowControl/>
        <w:wordWrap w:val="0"/>
        <w:spacing w:beforeAutospacing="0" w:after="30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3B7988" w:rsidRDefault="003B7988">
      <w:pPr>
        <w:pStyle w:val="a6"/>
        <w:widowControl/>
        <w:wordWrap w:val="0"/>
        <w:spacing w:beforeAutospacing="0" w:after="30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3B7988" w:rsidRDefault="003B7988">
      <w:pPr>
        <w:pStyle w:val="a6"/>
        <w:widowControl/>
        <w:wordWrap w:val="0"/>
        <w:spacing w:beforeAutospacing="0" w:after="300" w:afterAutospacing="0" w:line="560" w:lineRule="exact"/>
        <w:ind w:firstLineChars="1400" w:firstLine="4480"/>
        <w:jc w:val="both"/>
        <w:rPr>
          <w:rFonts w:ascii="仿宋_GB2312" w:eastAsia="仿宋_GB2312" w:hAnsi="仿宋_GB2312" w:cs="仿宋_GB2312"/>
          <w:sz w:val="32"/>
          <w:szCs w:val="32"/>
        </w:rPr>
      </w:pPr>
    </w:p>
    <w:sectPr w:rsidR="003B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A2B2F8"/>
    <w:multiLevelType w:val="singleLevel"/>
    <w:tmpl w:val="BCA2B2F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9B481F2"/>
    <w:multiLevelType w:val="singleLevel"/>
    <w:tmpl w:val="79B481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E72EC"/>
    <w:rsid w:val="000238D4"/>
    <w:rsid w:val="00091937"/>
    <w:rsid w:val="000B060D"/>
    <w:rsid w:val="000E4479"/>
    <w:rsid w:val="00170795"/>
    <w:rsid w:val="001C59C7"/>
    <w:rsid w:val="001D555F"/>
    <w:rsid w:val="0021498E"/>
    <w:rsid w:val="0022271A"/>
    <w:rsid w:val="002342A4"/>
    <w:rsid w:val="00254E3F"/>
    <w:rsid w:val="0027147C"/>
    <w:rsid w:val="002860BD"/>
    <w:rsid w:val="00291291"/>
    <w:rsid w:val="002A44BF"/>
    <w:rsid w:val="002B1A7C"/>
    <w:rsid w:val="002C427F"/>
    <w:rsid w:val="002C7CEC"/>
    <w:rsid w:val="002D15C0"/>
    <w:rsid w:val="002D53F5"/>
    <w:rsid w:val="00300A2A"/>
    <w:rsid w:val="00305462"/>
    <w:rsid w:val="0032780A"/>
    <w:rsid w:val="00343729"/>
    <w:rsid w:val="00344888"/>
    <w:rsid w:val="003464BB"/>
    <w:rsid w:val="00353315"/>
    <w:rsid w:val="00396308"/>
    <w:rsid w:val="003B7988"/>
    <w:rsid w:val="003E7542"/>
    <w:rsid w:val="003E7FC7"/>
    <w:rsid w:val="00403DFD"/>
    <w:rsid w:val="00412132"/>
    <w:rsid w:val="00415337"/>
    <w:rsid w:val="00425FE2"/>
    <w:rsid w:val="00446F76"/>
    <w:rsid w:val="00470C15"/>
    <w:rsid w:val="0048663A"/>
    <w:rsid w:val="004C049E"/>
    <w:rsid w:val="004C7A60"/>
    <w:rsid w:val="004D2794"/>
    <w:rsid w:val="004F633D"/>
    <w:rsid w:val="004F6682"/>
    <w:rsid w:val="004F7916"/>
    <w:rsid w:val="005229BB"/>
    <w:rsid w:val="00524149"/>
    <w:rsid w:val="0054085B"/>
    <w:rsid w:val="0054251F"/>
    <w:rsid w:val="00543D4C"/>
    <w:rsid w:val="00544EB2"/>
    <w:rsid w:val="00561C9A"/>
    <w:rsid w:val="005A01F9"/>
    <w:rsid w:val="005A69A6"/>
    <w:rsid w:val="005F7E69"/>
    <w:rsid w:val="006318C3"/>
    <w:rsid w:val="006A1B14"/>
    <w:rsid w:val="006C0254"/>
    <w:rsid w:val="006D4EB0"/>
    <w:rsid w:val="0070798D"/>
    <w:rsid w:val="00716DA9"/>
    <w:rsid w:val="00720F7F"/>
    <w:rsid w:val="00722390"/>
    <w:rsid w:val="00731FAF"/>
    <w:rsid w:val="007374D4"/>
    <w:rsid w:val="00750229"/>
    <w:rsid w:val="007633EE"/>
    <w:rsid w:val="007D194C"/>
    <w:rsid w:val="007D3485"/>
    <w:rsid w:val="007F4028"/>
    <w:rsid w:val="008873DD"/>
    <w:rsid w:val="0089024C"/>
    <w:rsid w:val="008C78E3"/>
    <w:rsid w:val="008E55CD"/>
    <w:rsid w:val="008F7640"/>
    <w:rsid w:val="00906727"/>
    <w:rsid w:val="0092446A"/>
    <w:rsid w:val="00937A28"/>
    <w:rsid w:val="0094467F"/>
    <w:rsid w:val="009466FF"/>
    <w:rsid w:val="00965026"/>
    <w:rsid w:val="009743EF"/>
    <w:rsid w:val="009958CB"/>
    <w:rsid w:val="009D386A"/>
    <w:rsid w:val="009E6600"/>
    <w:rsid w:val="009F5150"/>
    <w:rsid w:val="00A20649"/>
    <w:rsid w:val="00A458F5"/>
    <w:rsid w:val="00A53F67"/>
    <w:rsid w:val="00A823C9"/>
    <w:rsid w:val="00A946C1"/>
    <w:rsid w:val="00AA399E"/>
    <w:rsid w:val="00AC0AD5"/>
    <w:rsid w:val="00AE0876"/>
    <w:rsid w:val="00AE33C2"/>
    <w:rsid w:val="00AF7B33"/>
    <w:rsid w:val="00B30409"/>
    <w:rsid w:val="00B3652B"/>
    <w:rsid w:val="00B4531A"/>
    <w:rsid w:val="00B82201"/>
    <w:rsid w:val="00B86CAD"/>
    <w:rsid w:val="00BF7307"/>
    <w:rsid w:val="00C01253"/>
    <w:rsid w:val="00C248A0"/>
    <w:rsid w:val="00CE31AF"/>
    <w:rsid w:val="00D27294"/>
    <w:rsid w:val="00D60287"/>
    <w:rsid w:val="00D70205"/>
    <w:rsid w:val="00DD485C"/>
    <w:rsid w:val="00DD7A8B"/>
    <w:rsid w:val="00DE4A9A"/>
    <w:rsid w:val="00E10C88"/>
    <w:rsid w:val="00E1416A"/>
    <w:rsid w:val="00E16E3D"/>
    <w:rsid w:val="00E4198F"/>
    <w:rsid w:val="00E44573"/>
    <w:rsid w:val="00E642A4"/>
    <w:rsid w:val="00E97663"/>
    <w:rsid w:val="00EA7E6D"/>
    <w:rsid w:val="00EC1307"/>
    <w:rsid w:val="00ED22C1"/>
    <w:rsid w:val="00ED3D27"/>
    <w:rsid w:val="00ED6536"/>
    <w:rsid w:val="00F076C8"/>
    <w:rsid w:val="00F2062A"/>
    <w:rsid w:val="00F54A0F"/>
    <w:rsid w:val="00FA2981"/>
    <w:rsid w:val="00FB6D40"/>
    <w:rsid w:val="00FD5601"/>
    <w:rsid w:val="00FD7A70"/>
    <w:rsid w:val="0A6B628A"/>
    <w:rsid w:val="0AB34E86"/>
    <w:rsid w:val="0AE61864"/>
    <w:rsid w:val="0E755502"/>
    <w:rsid w:val="10615025"/>
    <w:rsid w:val="12935CCA"/>
    <w:rsid w:val="12B44E5E"/>
    <w:rsid w:val="149D2FFB"/>
    <w:rsid w:val="16CF575F"/>
    <w:rsid w:val="17601648"/>
    <w:rsid w:val="18BC7811"/>
    <w:rsid w:val="18F83396"/>
    <w:rsid w:val="196F15C4"/>
    <w:rsid w:val="19F71CEA"/>
    <w:rsid w:val="1DDC5C65"/>
    <w:rsid w:val="249B23E2"/>
    <w:rsid w:val="27F4760F"/>
    <w:rsid w:val="284B17A4"/>
    <w:rsid w:val="28996C81"/>
    <w:rsid w:val="2ABC5DFF"/>
    <w:rsid w:val="3028019E"/>
    <w:rsid w:val="31E01334"/>
    <w:rsid w:val="33F366BB"/>
    <w:rsid w:val="353A4E66"/>
    <w:rsid w:val="36891F3F"/>
    <w:rsid w:val="3836091F"/>
    <w:rsid w:val="385B654D"/>
    <w:rsid w:val="3A0D377E"/>
    <w:rsid w:val="3A103319"/>
    <w:rsid w:val="3BC4686C"/>
    <w:rsid w:val="3F9A7DC4"/>
    <w:rsid w:val="40D044B1"/>
    <w:rsid w:val="42225219"/>
    <w:rsid w:val="4636667F"/>
    <w:rsid w:val="485F023E"/>
    <w:rsid w:val="49E976DA"/>
    <w:rsid w:val="4AEF6A49"/>
    <w:rsid w:val="4EA160CF"/>
    <w:rsid w:val="5067122E"/>
    <w:rsid w:val="50FD6250"/>
    <w:rsid w:val="525B213A"/>
    <w:rsid w:val="53C40147"/>
    <w:rsid w:val="53E862E4"/>
    <w:rsid w:val="56C32739"/>
    <w:rsid w:val="574F17FD"/>
    <w:rsid w:val="59CF62BA"/>
    <w:rsid w:val="5A775A5C"/>
    <w:rsid w:val="5C0C1796"/>
    <w:rsid w:val="5F7E72EC"/>
    <w:rsid w:val="603C7A94"/>
    <w:rsid w:val="61013365"/>
    <w:rsid w:val="64236E79"/>
    <w:rsid w:val="65222253"/>
    <w:rsid w:val="6A647626"/>
    <w:rsid w:val="6D7071C5"/>
    <w:rsid w:val="6EA33E46"/>
    <w:rsid w:val="6F093DF9"/>
    <w:rsid w:val="702D7C67"/>
    <w:rsid w:val="70C65F07"/>
    <w:rsid w:val="72CF1C1A"/>
    <w:rsid w:val="77091B4A"/>
    <w:rsid w:val="781E5363"/>
    <w:rsid w:val="7A6A6777"/>
    <w:rsid w:val="7DC9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595</Words>
  <Characters>3395</Characters>
  <Application>Microsoft Office Word</Application>
  <DocSecurity>0</DocSecurity>
  <Lines>28</Lines>
  <Paragraphs>7</Paragraphs>
  <ScaleCrop>false</ScaleCrop>
  <Company>Users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江雪; 王玉琪</dc:creator>
  <cp:lastModifiedBy>Windows 用户</cp:lastModifiedBy>
  <cp:revision>157</cp:revision>
  <cp:lastPrinted>2023-01-29T06:24:00Z</cp:lastPrinted>
  <dcterms:created xsi:type="dcterms:W3CDTF">2022-01-14T02:40:00Z</dcterms:created>
  <dcterms:modified xsi:type="dcterms:W3CDTF">2023-02-09T03:07:00Z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