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pacing w:val="-20"/>
          <w:kern w:val="0"/>
          <w:sz w:val="44"/>
          <w:szCs w:val="44"/>
          <w:lang w:eastAsia="zh-CN"/>
        </w:rPr>
      </w:pPr>
      <w:r>
        <w:rPr>
          <w:rFonts w:hint="eastAsia" w:ascii="方正小标宋简体" w:hAnsi="方正小标宋简体" w:eastAsia="方正小标宋简体" w:cs="方正小标宋简体"/>
          <w:b w:val="0"/>
          <w:bCs w:val="0"/>
          <w:color w:val="000000"/>
          <w:spacing w:val="-20"/>
          <w:kern w:val="0"/>
          <w:sz w:val="44"/>
          <w:szCs w:val="44"/>
          <w:lang w:eastAsia="zh-CN"/>
        </w:rPr>
        <w:t>国家税务总局贵州双龙航空港经济区税务局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2022年</w:t>
      </w:r>
      <w:r>
        <w:rPr>
          <w:rFonts w:hint="eastAsia" w:ascii="方正小标宋简体" w:hAnsi="方正小标宋简体" w:eastAsia="方正小标宋简体" w:cs="方正小标宋简体"/>
          <w:b w:val="0"/>
          <w:bCs w:val="0"/>
          <w:color w:val="000000"/>
          <w:kern w:val="0"/>
          <w:sz w:val="44"/>
          <w:szCs w:val="44"/>
        </w:rPr>
        <w:t>政府信息公开工作年度报告</w:t>
      </w:r>
    </w:p>
    <w:p>
      <w:pP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本报告根据《中华人民共和国政府信息公开条例》要求编制。</w:t>
      </w:r>
      <w:r>
        <w:rPr>
          <w:rFonts w:hint="eastAsia" w:ascii="仿宋_GB2312" w:eastAsia="仿宋_GB2312"/>
          <w:sz w:val="32"/>
          <w:szCs w:val="32"/>
        </w:rPr>
        <w:t>全文包括总体情况、主动公开政府信息情况、收到和处理政府信息公开申请情况、政府信息公开行政复议、行政诉讼情况、存在的主要问题及改进措施和其他需要报告事项</w:t>
      </w:r>
      <w:r>
        <w:rPr>
          <w:rFonts w:hint="eastAsia" w:ascii="仿宋_GB2312" w:hAnsi="仿宋_GB2312" w:eastAsia="仿宋_GB2312" w:cs="仿宋_GB2312"/>
          <w:sz w:val="32"/>
          <w:szCs w:val="32"/>
        </w:rPr>
        <w:t>。报告中所列数据为国家税务总局</w:t>
      </w:r>
      <w:r>
        <w:rPr>
          <w:rFonts w:hint="eastAsia" w:ascii="仿宋_GB2312" w:hAnsi="仿宋_GB2312" w:eastAsia="仿宋_GB2312" w:cs="仿宋_GB2312"/>
          <w:sz w:val="32"/>
          <w:szCs w:val="32"/>
          <w:lang w:eastAsia="zh-CN"/>
        </w:rPr>
        <w:t>贵州双龙航空港经济区</w:t>
      </w:r>
      <w:r>
        <w:rPr>
          <w:rFonts w:hint="default" w:ascii="仿宋_GB2312" w:hAnsi="仿宋_GB2312" w:eastAsia="仿宋_GB2312" w:cs="仿宋_GB2312"/>
          <w:sz w:val="32"/>
          <w:szCs w:val="32"/>
        </w:rPr>
        <w:t>税务局202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年整年数据，统计期限自202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年1月1日起至202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年12月31日止。报告电子版可在国家税务总局贵州省税务局网站（http</w:t>
      </w:r>
      <w:r>
        <w:rPr>
          <w:rFonts w:hint="eastAsia" w:ascii="仿宋_GB2312" w:hAnsi="仿宋_GB2312" w:eastAsia="仿宋_GB2312" w:cs="仿宋_GB2312"/>
          <w:sz w:val="32"/>
          <w:szCs w:val="32"/>
          <w:lang w:val="en-US" w:eastAsia="zh-CN"/>
        </w:rPr>
        <w:t>s</w:t>
      </w:r>
      <w:r>
        <w:rPr>
          <w:rFonts w:hint="default" w:ascii="仿宋_GB2312" w:hAnsi="仿宋_GB2312" w:eastAsia="仿宋_GB2312" w:cs="仿宋_GB2312"/>
          <w:sz w:val="32"/>
          <w:szCs w:val="32"/>
        </w:rPr>
        <w:t>://guizhou.chinatax.gov.cn/）查阅。</w:t>
      </w:r>
      <w:r>
        <w:rPr>
          <w:rFonts w:hint="eastAsia" w:ascii="仿宋_GB2312" w:eastAsia="仿宋_GB2312"/>
          <w:sz w:val="32"/>
          <w:szCs w:val="32"/>
        </w:rPr>
        <w:t>如有疑问请致电</w:t>
      </w:r>
      <w:r>
        <w:rPr>
          <w:rFonts w:hint="default" w:ascii="仿宋_GB2312" w:hAnsi="仿宋_GB2312" w:eastAsia="仿宋_GB2312" w:cs="仿宋_GB2312"/>
          <w:sz w:val="32"/>
          <w:szCs w:val="32"/>
        </w:rPr>
        <w:t>国家税务总局</w:t>
      </w:r>
      <w:r>
        <w:rPr>
          <w:rFonts w:hint="eastAsia" w:ascii="仿宋_GB2312" w:hAnsi="仿宋_GB2312" w:eastAsia="仿宋_GB2312" w:cs="仿宋_GB2312"/>
          <w:sz w:val="32"/>
          <w:szCs w:val="32"/>
          <w:lang w:eastAsia="zh-CN"/>
        </w:rPr>
        <w:t>贵州双龙航空港经济区</w:t>
      </w:r>
      <w:r>
        <w:rPr>
          <w:rFonts w:hint="default" w:ascii="仿宋_GB2312" w:hAnsi="仿宋_GB2312" w:eastAsia="仿宋_GB2312" w:cs="仿宋_GB2312"/>
          <w:sz w:val="32"/>
          <w:szCs w:val="32"/>
        </w:rPr>
        <w:t>税务局，</w:t>
      </w:r>
      <w:r>
        <w:rPr>
          <w:rFonts w:hint="eastAsia" w:ascii="仿宋_GB2312" w:hAnsi="仿宋_GB2312" w:eastAsia="仿宋_GB2312" w:cs="仿宋_GB2312"/>
          <w:sz w:val="32"/>
          <w:szCs w:val="32"/>
          <w:lang w:eastAsia="zh-CN"/>
        </w:rPr>
        <w:t>联系</w:t>
      </w:r>
      <w:r>
        <w:rPr>
          <w:rFonts w:hint="default" w:ascii="仿宋_GB2312" w:hAnsi="仿宋_GB2312" w:eastAsia="仿宋_GB2312" w:cs="仿宋_GB2312"/>
          <w:sz w:val="32"/>
          <w:szCs w:val="32"/>
        </w:rPr>
        <w:t>电话：0851-82272527。竭诚欢迎您的关注支持和批评监督！</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年，国家税务总局贵州双龙航空港经济区税务局</w:t>
      </w:r>
      <w:r>
        <w:rPr>
          <w:rFonts w:hint="eastAsia" w:ascii="仿宋_GB2312" w:hAnsi="仿宋_GB2312" w:eastAsia="仿宋_GB2312" w:cs="仿宋_GB2312"/>
          <w:color w:val="auto"/>
          <w:kern w:val="0"/>
          <w:sz w:val="32"/>
          <w:szCs w:val="32"/>
          <w:highlight w:val="none"/>
          <w:lang w:eastAsia="zh-CN"/>
        </w:rPr>
        <w:t>政府信息公开工作坚持</w:t>
      </w:r>
      <w:r>
        <w:rPr>
          <w:rFonts w:hint="eastAsia" w:ascii="仿宋_GB2312" w:hAnsi="仿宋_GB2312" w:eastAsia="仿宋_GB2312" w:cs="仿宋_GB2312"/>
          <w:color w:val="auto"/>
          <w:kern w:val="0"/>
          <w:sz w:val="32"/>
          <w:szCs w:val="32"/>
          <w:highlight w:val="none"/>
        </w:rPr>
        <w:t>以习近平新时代中国特色社会主义思想为指导，</w:t>
      </w:r>
      <w:r>
        <w:rPr>
          <w:rFonts w:hint="eastAsia" w:ascii="仿宋_GB2312" w:hAnsi="仿宋_GB2312" w:eastAsia="仿宋_GB2312" w:cs="仿宋_GB2312"/>
          <w:color w:val="auto"/>
          <w:kern w:val="0"/>
          <w:sz w:val="32"/>
          <w:szCs w:val="32"/>
          <w:highlight w:val="none"/>
          <w:lang w:eastAsia="zh-CN"/>
        </w:rPr>
        <w:t>全面贯彻</w:t>
      </w:r>
      <w:r>
        <w:rPr>
          <w:rFonts w:hint="eastAsia" w:ascii="仿宋_GB2312" w:hAnsi="仿宋_GB2312" w:eastAsia="仿宋_GB2312" w:cs="仿宋_GB2312"/>
          <w:color w:val="auto"/>
          <w:kern w:val="0"/>
          <w:sz w:val="32"/>
          <w:szCs w:val="32"/>
          <w:highlight w:val="none"/>
        </w:rPr>
        <w:t>党的</w:t>
      </w:r>
      <w:r>
        <w:rPr>
          <w:rFonts w:hint="eastAsia" w:ascii="仿宋_GB2312" w:hAnsi="仿宋_GB2312" w:eastAsia="仿宋_GB2312" w:cs="仿宋_GB2312"/>
          <w:color w:val="auto"/>
          <w:kern w:val="0"/>
          <w:sz w:val="32"/>
          <w:szCs w:val="32"/>
          <w:highlight w:val="none"/>
          <w:lang w:eastAsia="zh-CN"/>
        </w:rPr>
        <w:t>十九大、十九届历次全会和党的二十大</w:t>
      </w:r>
      <w:r>
        <w:rPr>
          <w:rFonts w:hint="eastAsia" w:ascii="仿宋_GB2312" w:hAnsi="仿宋_GB2312" w:eastAsia="仿宋_GB2312" w:cs="仿宋_GB2312"/>
          <w:color w:val="auto"/>
          <w:kern w:val="0"/>
          <w:sz w:val="32"/>
          <w:szCs w:val="32"/>
          <w:highlight w:val="none"/>
        </w:rPr>
        <w:t>精神，</w:t>
      </w:r>
      <w:r>
        <w:rPr>
          <w:rFonts w:hint="eastAsia" w:ascii="仿宋_GB2312" w:hAnsi="仿宋_GB2312" w:eastAsia="仿宋_GB2312" w:cs="仿宋_GB2312"/>
          <w:color w:val="auto"/>
          <w:kern w:val="0"/>
          <w:sz w:val="32"/>
          <w:szCs w:val="32"/>
          <w:highlight w:val="none"/>
          <w:lang w:eastAsia="zh-CN"/>
        </w:rPr>
        <w:t>深入贯彻落实习近平总书记视察贵州重要讲话精神，充分发挥政务公开对深化改革、规范执法、优化服务、落实税费政策等方面的促进作用，持续高质量优化税收营商环境。</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eastAsia="zh-CN"/>
        </w:rPr>
        <w:t>(一)主动公开方面</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一是通过门户网站主动公开信息</w:t>
      </w:r>
      <w:r>
        <w:rPr>
          <w:rFonts w:hint="eastAsia" w:ascii="仿宋_GB2312" w:hAnsi="仿宋_GB2312" w:eastAsia="仿宋_GB2312" w:cs="仿宋_GB2312"/>
          <w:color w:val="auto"/>
          <w:kern w:val="0"/>
          <w:sz w:val="32"/>
          <w:szCs w:val="32"/>
          <w:highlight w:val="none"/>
          <w:lang w:val="en-US" w:eastAsia="zh-CN"/>
        </w:rPr>
        <w:t>234条，其中：通知公告政策解读信息153条，工作动态信息81条。二是通过门户网站主动公开2022年政府采购相关信息11条。三是通过门户网站主动公开机构信息。包括机构职能、领导简介、联系方式、法定主动公开内容等。</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eastAsia="zh-CN"/>
        </w:rPr>
        <w:t>（二）依申请公开方面</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深入贯彻实施《</w:t>
      </w:r>
      <w:r>
        <w:rPr>
          <w:rFonts w:hint="eastAsia" w:ascii="仿宋_GB2312" w:hAnsi="仿宋_GB2312" w:eastAsia="仿宋_GB2312" w:cs="仿宋_GB2312"/>
          <w:color w:val="auto"/>
          <w:kern w:val="0"/>
          <w:sz w:val="32"/>
          <w:szCs w:val="32"/>
          <w:highlight w:val="none"/>
          <w:lang w:eastAsia="zh-CN"/>
        </w:rPr>
        <w:t>中华人民共和国政府信息公开条例</w:t>
      </w:r>
      <w:r>
        <w:rPr>
          <w:rFonts w:hint="eastAsia" w:ascii="仿宋_GB2312" w:hAnsi="仿宋_GB2312" w:eastAsia="仿宋_GB2312" w:cs="仿宋_GB2312"/>
          <w:color w:val="auto"/>
          <w:kern w:val="0"/>
          <w:sz w:val="32"/>
          <w:szCs w:val="32"/>
          <w:highlight w:val="none"/>
          <w:lang w:val="en-US" w:eastAsia="zh-CN"/>
        </w:rPr>
        <w:t>》，积极做好政府信息依申请公开工作。2022年全局受理政府信息公开申请0件。</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eastAsia="zh-CN"/>
        </w:rPr>
        <w:t>（三）政府信息管理方面</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进一步加强政府信息管理，严格开展政务公开信息保密审查流程，遵循“谁公开谁审查”“谁审查谁负责”“先审查后公开”和“一事一审查”的原则，依法依规对拟公开的政府信息进行保密审查，未经审查和批准的政府信息，一律不对外公开发布。</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kern w:val="0"/>
          <w:sz w:val="32"/>
          <w:szCs w:val="32"/>
          <w:highlight w:val="none"/>
        </w:rPr>
      </w:pPr>
      <w:r>
        <w:rPr>
          <w:rFonts w:hint="eastAsia" w:ascii="楷体" w:hAnsi="楷体" w:eastAsia="楷体" w:cs="楷体"/>
          <w:color w:val="auto"/>
          <w:kern w:val="0"/>
          <w:sz w:val="32"/>
          <w:szCs w:val="32"/>
          <w:highlight w:val="none"/>
        </w:rPr>
        <w:t>(四)政府信息公开平台建设</w:t>
      </w:r>
      <w:r>
        <w:rPr>
          <w:rFonts w:hint="eastAsia" w:ascii="楷体" w:hAnsi="楷体" w:eastAsia="楷体" w:cs="楷体"/>
          <w:color w:val="auto"/>
          <w:kern w:val="0"/>
          <w:sz w:val="32"/>
          <w:szCs w:val="32"/>
          <w:highlight w:val="none"/>
          <w:lang w:eastAsia="zh-CN"/>
        </w:rPr>
        <w:t>方面</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一是</w:t>
      </w:r>
      <w:r>
        <w:rPr>
          <w:rFonts w:hint="eastAsia" w:ascii="仿宋_GB2312" w:hAnsi="仿宋_GB2312" w:eastAsia="仿宋_GB2312" w:cs="仿宋_GB2312"/>
          <w:color w:val="auto"/>
          <w:kern w:val="0"/>
          <w:sz w:val="32"/>
          <w:szCs w:val="32"/>
          <w:highlight w:val="none"/>
          <w:lang w:eastAsia="zh-CN"/>
        </w:rPr>
        <w:t>按照《国家税务总局贵州省税务局网站管理制度》</w:t>
      </w:r>
      <w:bookmarkStart w:id="0" w:name="_GoBack"/>
      <w:bookmarkEnd w:id="0"/>
      <w:r>
        <w:rPr>
          <w:rFonts w:hint="eastAsia" w:ascii="仿宋_GB2312" w:hAnsi="仿宋_GB2312" w:eastAsia="仿宋_GB2312" w:cs="仿宋_GB2312"/>
          <w:color w:val="auto"/>
          <w:kern w:val="0"/>
          <w:sz w:val="32"/>
          <w:szCs w:val="32"/>
          <w:highlight w:val="none"/>
          <w:lang w:eastAsia="zh-CN"/>
        </w:rPr>
        <w:t>《国家税务总局贵州省税务局新媒体管理制度》要求，强化公开平台维护，定期更新门户网站及微信公众号内容。</w:t>
      </w:r>
      <w:r>
        <w:rPr>
          <w:rFonts w:hint="eastAsia" w:ascii="仿宋_GB2312" w:hAnsi="仿宋_GB2312" w:eastAsia="仿宋_GB2312" w:cs="仿宋_GB2312"/>
          <w:color w:val="auto"/>
          <w:kern w:val="0"/>
          <w:sz w:val="32"/>
          <w:szCs w:val="32"/>
          <w:highlight w:val="none"/>
          <w:lang w:val="en-US" w:eastAsia="zh-CN"/>
        </w:rPr>
        <w:t>二是充分运用媒体平台、税企互动平台、12366纳税服务热线、12345市长热线、办税服务厅等线上线下路径，大力拓宽公开渠道，</w:t>
      </w:r>
      <w:r>
        <w:rPr>
          <w:rFonts w:hint="eastAsia" w:ascii="仿宋_GB2312" w:hAnsi="仿宋_GB2312" w:eastAsia="仿宋_GB2312" w:cs="仿宋_GB2312"/>
          <w:color w:val="auto"/>
          <w:kern w:val="0"/>
          <w:sz w:val="32"/>
          <w:szCs w:val="32"/>
          <w:highlight w:val="none"/>
          <w:lang w:eastAsia="zh-CN"/>
        </w:rPr>
        <w:t>扩大宣传覆盖面</w:t>
      </w:r>
      <w:r>
        <w:rPr>
          <w:rFonts w:hint="eastAsia" w:ascii="仿宋_GB2312" w:hAnsi="仿宋_GB2312" w:eastAsia="仿宋_GB2312" w:cs="仿宋_GB2312"/>
          <w:color w:val="auto"/>
          <w:kern w:val="0"/>
          <w:sz w:val="32"/>
          <w:szCs w:val="32"/>
          <w:highlight w:val="none"/>
          <w:lang w:val="en-US" w:eastAsia="zh-CN"/>
        </w:rPr>
        <w:t>。2022年，通过“学习强国”、中国税务报、工人日报、法制日报、贵州日报、天眼新闻、多彩贵州网、众望新闻等媒体平台对外发布各类信息111条，其中央级媒体12条、省级媒体99条；门户网站和税企互动平台共发布各类信息279</w:t>
      </w:r>
      <w:r>
        <w:rPr>
          <w:rFonts w:hint="eastAsia" w:ascii="仿宋_GB2312" w:hAnsi="仿宋_GB2312" w:eastAsia="仿宋_GB2312" w:cs="仿宋_GB2312"/>
          <w:color w:val="auto"/>
          <w:kern w:val="0"/>
          <w:sz w:val="32"/>
          <w:szCs w:val="32"/>
          <w:highlight w:val="none"/>
          <w:lang w:eastAsia="zh-CN"/>
        </w:rPr>
        <w:t>条；</w:t>
      </w:r>
      <w:r>
        <w:rPr>
          <w:rFonts w:hint="eastAsia" w:ascii="仿宋_GB2312" w:hAnsi="仿宋_GB2312" w:eastAsia="仿宋_GB2312" w:cs="仿宋_GB2312"/>
          <w:color w:val="auto"/>
          <w:kern w:val="0"/>
          <w:sz w:val="32"/>
          <w:szCs w:val="32"/>
          <w:highlight w:val="none"/>
          <w:lang w:val="en-US" w:eastAsia="zh-CN"/>
        </w:rPr>
        <w:t>12366纳税服务热线远程坐席共接通咨询电话8589通；12345市长热线转办工单71单。</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kern w:val="0"/>
          <w:sz w:val="32"/>
          <w:szCs w:val="32"/>
          <w:highlight w:val="none"/>
          <w:lang w:eastAsia="zh-CN"/>
        </w:rPr>
      </w:pPr>
      <w:r>
        <w:rPr>
          <w:rFonts w:hint="eastAsia" w:ascii="楷体" w:hAnsi="楷体" w:eastAsia="楷体" w:cs="楷体"/>
          <w:color w:val="auto"/>
          <w:kern w:val="0"/>
          <w:sz w:val="32"/>
          <w:szCs w:val="32"/>
          <w:highlight w:val="none"/>
        </w:rPr>
        <w:t>(五)监督保障</w:t>
      </w:r>
      <w:r>
        <w:rPr>
          <w:rFonts w:hint="eastAsia" w:ascii="楷体" w:hAnsi="楷体" w:eastAsia="楷体" w:cs="楷体"/>
          <w:color w:val="auto"/>
          <w:kern w:val="0"/>
          <w:sz w:val="32"/>
          <w:szCs w:val="32"/>
          <w:highlight w:val="none"/>
          <w:lang w:eastAsia="zh-CN"/>
        </w:rPr>
        <w:t>方面</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Times New Roman" w:hAnsi="仿宋_GB2312" w:eastAsia="仿宋_GB2312" w:cs="仿宋_GB2312"/>
          <w:color w:val="auto"/>
          <w:kern w:val="2"/>
          <w:sz w:val="32"/>
          <w:szCs w:val="32"/>
          <w:highlight w:val="none"/>
          <w:lang w:val="en-US" w:eastAsia="zh-CN" w:bidi="ar-SA"/>
        </w:rPr>
        <w:t>将政务公开工作纳入年度绩效考核，抓好工作落实</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根据人员变动及时调整工作领导小组，落实领导责任，齐抓共管。</w:t>
      </w:r>
      <w:r>
        <w:rPr>
          <w:rFonts w:hint="eastAsia" w:ascii="仿宋_GB2312" w:hAnsi="仿宋_GB2312" w:eastAsia="仿宋_GB2312" w:cs="仿宋_GB2312"/>
          <w:color w:val="auto"/>
          <w:kern w:val="0"/>
          <w:sz w:val="32"/>
          <w:szCs w:val="32"/>
          <w:highlight w:val="none"/>
        </w:rPr>
        <w:t>深化公开保密审查</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明确拟发布信息的审核标准，</w:t>
      </w:r>
      <w:r>
        <w:rPr>
          <w:rFonts w:hint="eastAsia" w:ascii="仿宋_GB2312" w:hAnsi="仿宋_GB2312" w:eastAsia="仿宋_GB2312" w:cs="仿宋_GB2312"/>
          <w:color w:val="auto"/>
          <w:kern w:val="0"/>
          <w:sz w:val="32"/>
          <w:szCs w:val="32"/>
          <w:highlight w:val="none"/>
          <w:lang w:eastAsia="zh-CN"/>
        </w:rPr>
        <w:t>积极履行工作职责，完善政务公开工作队伍</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二、主动公开政府信息情况</w:t>
      </w:r>
    </w:p>
    <w:tbl>
      <w:tblPr>
        <w:tblStyle w:val="6"/>
        <w:tblW w:w="9740" w:type="dxa"/>
        <w:jc w:val="center"/>
        <w:tblLayout w:type="autofit"/>
        <w:tblCellMar>
          <w:top w:w="15" w:type="dxa"/>
          <w:left w:w="15" w:type="dxa"/>
          <w:bottom w:w="15" w:type="dxa"/>
          <w:right w:w="15" w:type="dxa"/>
        </w:tblCellMar>
      </w:tblPr>
      <w:tblGrid>
        <w:gridCol w:w="2435"/>
        <w:gridCol w:w="2435"/>
        <w:gridCol w:w="2435"/>
        <w:gridCol w:w="2435"/>
      </w:tblGrid>
      <w:tr>
        <w:tblPrEx>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第二十条第（一）项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本年</w:t>
            </w:r>
            <w:r>
              <w:rPr>
                <w:rFonts w:ascii="Calibri" w:hAnsi="Calibri" w:eastAsia="宋体" w:cs="宋体"/>
                <w:color w:val="000000"/>
                <w:kern w:val="0"/>
                <w:sz w:val="20"/>
                <w:szCs w:val="20"/>
              </w:rPr>
              <w:t>制</w:t>
            </w:r>
            <w:r>
              <w:rPr>
                <w:rFonts w:hint="eastAsia" w:ascii="宋体" w:hAnsi="宋体" w:eastAsia="宋体" w:cs="宋体"/>
                <w:color w:val="000000"/>
                <w:kern w:val="0"/>
                <w:sz w:val="20"/>
                <w:szCs w:val="20"/>
              </w:rPr>
              <w:t>发件</w:t>
            </w:r>
            <w:r>
              <w:rPr>
                <w:rFonts w:ascii="Calibri" w:hAnsi="Calibri" w:eastAsia="宋体" w:cs="宋体"/>
                <w:color w:val="000000"/>
                <w:kern w:val="0"/>
                <w:sz w:val="20"/>
                <w:szCs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现行有效件</w:t>
            </w:r>
            <w:r>
              <w:rPr>
                <w:rFonts w:ascii="Calibri" w:hAnsi="Calibri" w:eastAsia="宋体" w:cs="宋体"/>
                <w:color w:val="000000"/>
                <w:kern w:val="0"/>
                <w:sz w:val="20"/>
                <w:szCs w:val="20"/>
              </w:rPr>
              <w:t>数</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Calibri" w:hAnsi="Calibri" w:eastAsia="宋体" w:cs="宋体"/>
                <w:color w:val="auto"/>
                <w:kern w:val="0"/>
                <w:sz w:val="20"/>
                <w:szCs w:val="20"/>
                <w:lang w:val="en-US" w:eastAsia="zh-CN"/>
              </w:rPr>
              <w:t xml:space="preserve"> 0</w:t>
            </w:r>
            <w:r>
              <w:rPr>
                <w:rFonts w:ascii="Calibri" w:hAnsi="Calibri" w:eastAsia="宋体" w:cs="宋体"/>
                <w:color w:val="auto"/>
                <w:kern w:val="0"/>
                <w:sz w:val="20"/>
                <w:szCs w:val="20"/>
              </w:rPr>
              <w:t> </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hint="eastAsia" w:ascii="宋体" w:hAnsi="宋体" w:eastAsia="宋体" w:cs="宋体"/>
                <w:color w:val="000000"/>
                <w:kern w:val="0"/>
                <w:sz w:val="24"/>
                <w:szCs w:val="24"/>
                <w:lang w:val="en-US" w:eastAsia="zh-CN"/>
              </w:rPr>
            </w:pP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第二十条第（五）项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0"/>
                <w:szCs w:val="20"/>
                <w:lang w:val="en-US" w:eastAsia="zh-CN"/>
              </w:rPr>
              <w:t>643</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第二十条第（六）项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0"/>
                <w:szCs w:val="20"/>
                <w:lang w:val="en-US" w:eastAsia="zh-CN"/>
              </w:rPr>
              <w:t>241</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kern w:val="0"/>
                <w:sz w:val="24"/>
                <w:szCs w:val="24"/>
                <w:highlight w:val="none"/>
              </w:rPr>
            </w:pPr>
            <w:r>
              <w:rPr>
                <w:rFonts w:hint="eastAsia" w:ascii="宋体" w:hAnsi="宋体" w:eastAsia="宋体" w:cs="宋体"/>
                <w:kern w:val="0"/>
                <w:sz w:val="20"/>
                <w:szCs w:val="20"/>
                <w:highlight w:val="none"/>
              </w:rPr>
              <w:t>第二十条第（八）项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kern w:val="0"/>
                <w:sz w:val="24"/>
                <w:szCs w:val="24"/>
                <w:highlight w:val="none"/>
              </w:rPr>
            </w:pPr>
            <w:r>
              <w:rPr>
                <w:rFonts w:hint="eastAsia" w:ascii="宋体" w:hAnsi="宋体" w:eastAsia="宋体" w:cs="宋体"/>
                <w:kern w:val="0"/>
                <w:sz w:val="20"/>
                <w:szCs w:val="20"/>
                <w:highlight w:val="none"/>
              </w:rPr>
              <w:t>本年收费金额（单位：万元）</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80" w:firstLineChars="200"/>
              <w:jc w:val="center"/>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0</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三、收到和处理政府信息公开申请情况</w:t>
      </w:r>
    </w:p>
    <w:tbl>
      <w:tblPr>
        <w:tblStyle w:val="6"/>
        <w:tblW w:w="9748" w:type="dxa"/>
        <w:jc w:val="center"/>
        <w:shd w:val="clear" w:color="auto" w:fill="auto"/>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shd w:val="clear" w:color="auto" w:fill="auto"/>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申请人情况</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总计</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商业</w:t>
            </w:r>
          </w:p>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科研</w:t>
            </w:r>
          </w:p>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其他</w:t>
            </w:r>
          </w:p>
        </w:tc>
        <w:tc>
          <w:tcPr>
            <w:tcW w:w="0" w:type="auto"/>
            <w:vMerge w:val="continue"/>
            <w:tcBorders>
              <w:top w:val="single" w:color="auto" w:sz="8" w:space="0"/>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r>
      <w:tr>
        <w:tblPrEx>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768" w:type="dxa"/>
            <w:vMerge w:val="restart"/>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三、本年度办理结果</w:t>
            </w: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（二）部分公开</w:t>
            </w:r>
            <w:r>
              <w:rPr>
                <w:rFonts w:hint="eastAsia" w:ascii="楷体" w:hAnsi="楷体" w:eastAsia="楷体" w:cs="宋体"/>
                <w:color w:val="auto"/>
                <w:kern w:val="0"/>
                <w:sz w:val="20"/>
                <w:szCs w:val="20"/>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943"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（三）不予公开</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Calibri" w:hAnsi="Calibri" w:eastAsia="宋体" w:cs="宋体"/>
                <w:color w:val="auto"/>
                <w:kern w:val="0"/>
                <w:sz w:val="20"/>
                <w:szCs w:val="20"/>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943"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（四）无法提供</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 xml:space="preserve"> 0</w:t>
            </w:r>
            <w:r>
              <w:rPr>
                <w:rFonts w:ascii="Calibri" w:hAnsi="Calibri" w:eastAsia="宋体" w:cs="宋体"/>
                <w:color w:val="auto"/>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hint="eastAsia" w:ascii="Calibri" w:hAnsi="Calibri" w:eastAsia="宋体" w:cs="宋体"/>
                <w:color w:val="auto"/>
                <w:kern w:val="0"/>
                <w:sz w:val="20"/>
                <w:szCs w:val="20"/>
                <w:lang w:val="en-US" w:eastAsia="zh-CN"/>
              </w:rPr>
              <w:t xml:space="preserve"> 0</w:t>
            </w:r>
            <w:r>
              <w:rPr>
                <w:rFonts w:ascii="Calibri" w:hAnsi="Calibri" w:eastAsia="宋体" w:cs="宋体"/>
                <w:color w:val="auto"/>
                <w:kern w:val="0"/>
                <w:sz w:val="20"/>
                <w:szCs w:val="20"/>
              </w:rPr>
              <w:t> </w:t>
            </w:r>
            <w:r>
              <w:rPr>
                <w:rFonts w:hint="eastAsia" w:ascii="宋体" w:hAnsi="宋体" w:eastAsia="宋体" w:cs="宋体"/>
                <w:color w:val="auto"/>
                <w:kern w:val="0"/>
                <w:sz w:val="24"/>
                <w:szCs w:val="24"/>
                <w:lang w:val="en-US" w:eastAsia="zh-CN"/>
              </w:rPr>
              <w:t xml:space="preserve">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943"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（五）不予处理</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3220"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0"/>
                <w:szCs w:val="20"/>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rPr>
            </w:pPr>
            <w:r>
              <w:rPr>
                <w:rFonts w:hint="eastAsia" w:ascii="Calibri" w:hAnsi="Calibri" w:eastAsia="宋体" w:cs="宋体"/>
                <w:color w:val="auto"/>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943" w:type="dxa"/>
            <w:vMerge w:val="restart"/>
            <w:tcBorders>
              <w:top w:val="inset" w:color="auto" w:sz="8" w:space="0"/>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（六）其他处理</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rPr>
            </w:pP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0" w:type="auto"/>
            <w:vMerge w:val="continue"/>
            <w:tcBorders>
              <w:top w:val="inset" w:color="auto" w:sz="8" w:space="0"/>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rPr>
            </w:pP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0" w:type="auto"/>
            <w:vMerge w:val="continue"/>
            <w:tcBorders>
              <w:top w:val="inset" w:color="auto" w:sz="8" w:space="0"/>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 xml:space="preserve"> 0</w:t>
            </w:r>
            <w:r>
              <w:rPr>
                <w:rFonts w:ascii="Calibri" w:hAnsi="Calibri" w:eastAsia="宋体" w:cs="宋体"/>
                <w:color w:val="auto"/>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auto"/>
                <w:kern w:val="0"/>
                <w:sz w:val="24"/>
                <w:szCs w:val="24"/>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r>
      <w:tr>
        <w:tblPrEx>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bidi="ar-SA"/>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四、政府信息公开行政复议、行政诉讼情况</w:t>
      </w:r>
    </w:p>
    <w:tbl>
      <w:tblPr>
        <w:tblStyle w:val="6"/>
        <w:tblW w:w="9748" w:type="dxa"/>
        <w:jc w:val="center"/>
        <w:shd w:val="clear" w:color="auto" w:fill="auto"/>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行政诉讼</w:t>
            </w:r>
          </w:p>
        </w:tc>
      </w:tr>
      <w:tr>
        <w:tblPrEx>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4"/>
                <w:szCs w:val="24"/>
              </w:rPr>
            </w:pP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五、存在的主要问题及改进情况</w:t>
      </w:r>
    </w:p>
    <w:p>
      <w:pPr>
        <w:keepNext w:val="0"/>
        <w:keepLines w:val="0"/>
        <w:pageBreakBefore w:val="0"/>
        <w:widowControl/>
        <w:shd w:val="clear" w:color="auto" w:fill="FFFFFF"/>
        <w:kinsoku/>
        <w:overflowPunct/>
        <w:topLinePunct w:val="0"/>
        <w:autoSpaceDE/>
        <w:autoSpaceDN/>
        <w:bidi w:val="0"/>
        <w:adjustRightInd/>
        <w:snapToGrid/>
        <w:spacing w:line="578" w:lineRule="exact"/>
        <w:ind w:firstLine="640" w:firstLineChars="200"/>
        <w:textAlignment w:val="auto"/>
        <w:rPr>
          <w:rFonts w:hint="eastAsia" w:ascii="仿宋_GB2312" w:hAnsi="宋体" w:eastAsia="仿宋_GB2312" w:cs="宋体"/>
          <w:sz w:val="32"/>
          <w:szCs w:val="22"/>
          <w:lang w:val="en-US" w:eastAsia="zh-CN"/>
        </w:rPr>
      </w:pPr>
      <w:r>
        <w:rPr>
          <w:rFonts w:hint="eastAsia" w:ascii="仿宋_GB2312" w:hAnsi="仿宋_GB2312" w:eastAsia="仿宋_GB2312" w:cs="仿宋_GB2312"/>
          <w:b w:val="0"/>
          <w:bCs w:val="0"/>
          <w:color w:val="000000"/>
          <w:kern w:val="0"/>
          <w:sz w:val="32"/>
          <w:szCs w:val="32"/>
          <w:lang w:val="en-US" w:eastAsia="zh-CN"/>
        </w:rPr>
        <w:t>2022年，国家税务总局贵州双龙航空港经济区税务局政府信息公开工作有序开展，各项工作取得了一定的成效，但也存在一些问题和不足：一是门户网站栏目信息更新率不高；二是文字信息审核不够严格，发布信息中存在少量错敏字</w:t>
      </w:r>
      <w:r>
        <w:rPr>
          <w:rFonts w:hint="eastAsia" w:ascii="仿宋_GB2312" w:hAnsi="宋体" w:eastAsia="仿宋_GB2312" w:cs="宋体"/>
          <w:sz w:val="32"/>
          <w:szCs w:val="22"/>
          <w:lang w:val="en-US" w:eastAsia="zh-CN"/>
        </w:rPr>
        <w:t>。</w:t>
      </w:r>
    </w:p>
    <w:p>
      <w:pPr>
        <w:keepNext w:val="0"/>
        <w:keepLines w:val="0"/>
        <w:pageBreakBefore w:val="0"/>
        <w:widowControl/>
        <w:shd w:val="clear" w:color="auto" w:fill="FFFFFF"/>
        <w:kinsoku/>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宋体" w:eastAsia="仿宋_GB2312" w:cs="宋体"/>
          <w:sz w:val="32"/>
          <w:szCs w:val="22"/>
          <w:lang w:eastAsia="zh-CN"/>
        </w:rPr>
        <w:t>下一步</w:t>
      </w:r>
      <w:r>
        <w:rPr>
          <w:rFonts w:hint="eastAsia" w:ascii="仿宋_GB2312" w:hAnsi="宋体" w:eastAsia="仿宋_GB2312" w:cs="宋体"/>
          <w:sz w:val="32"/>
          <w:szCs w:val="22"/>
        </w:rPr>
        <w:t>针对</w:t>
      </w:r>
      <w:r>
        <w:rPr>
          <w:rFonts w:hint="eastAsia" w:ascii="仿宋_GB2312" w:hAnsi="宋体" w:eastAsia="仿宋_GB2312" w:cs="宋体"/>
          <w:sz w:val="32"/>
          <w:szCs w:val="22"/>
          <w:lang w:eastAsia="zh-CN"/>
        </w:rPr>
        <w:t>以上</w:t>
      </w:r>
      <w:r>
        <w:rPr>
          <w:rFonts w:hint="eastAsia" w:ascii="仿宋_GB2312" w:hAnsi="宋体" w:eastAsia="仿宋_GB2312" w:cs="宋体"/>
          <w:sz w:val="32"/>
          <w:szCs w:val="22"/>
        </w:rPr>
        <w:t>问题，</w:t>
      </w:r>
      <w:r>
        <w:rPr>
          <w:rFonts w:hint="eastAsia" w:ascii="仿宋_GB2312" w:hAnsi="仿宋_GB2312" w:eastAsia="仿宋_GB2312" w:cs="仿宋_GB2312"/>
          <w:b w:val="0"/>
          <w:bCs w:val="0"/>
          <w:color w:val="000000"/>
          <w:kern w:val="0"/>
          <w:sz w:val="32"/>
          <w:szCs w:val="32"/>
          <w:lang w:val="en-US" w:eastAsia="zh-CN"/>
        </w:rPr>
        <w:t>国家税务总局贵州双龙航空港经济区税务局将以严标准、高质量抓好政府信息公开工作。</w:t>
      </w:r>
    </w:p>
    <w:p>
      <w:pPr>
        <w:keepNext w:val="0"/>
        <w:keepLines w:val="0"/>
        <w:pageBreakBefore w:val="0"/>
        <w:widowControl/>
        <w:shd w:val="clear" w:color="auto" w:fill="FFFFFF"/>
        <w:kinsoku/>
        <w:overflowPunct/>
        <w:topLinePunct w:val="0"/>
        <w:autoSpaceDE/>
        <w:autoSpaceDN/>
        <w:bidi w:val="0"/>
        <w:adjustRightInd/>
        <w:snapToGrid/>
        <w:spacing w:line="578" w:lineRule="exact"/>
        <w:ind w:firstLine="643" w:firstLineChars="200"/>
        <w:textAlignment w:val="auto"/>
        <w:rPr>
          <w:rFonts w:hint="eastAsia" w:ascii="仿宋_GB2312" w:hAnsi="Adobe 仿宋 Std R" w:eastAsia="仿宋_GB2312" w:cs="仿宋_GB2312"/>
          <w:color w:val="auto"/>
          <w:kern w:val="0"/>
          <w:sz w:val="32"/>
          <w:szCs w:val="32"/>
          <w:lang w:eastAsia="zh-CN"/>
        </w:rPr>
      </w:pPr>
      <w:r>
        <w:rPr>
          <w:rFonts w:hint="eastAsia" w:ascii="仿宋_GB2312" w:eastAsia="仿宋_GB2312" w:cs="楷体_GB2312"/>
          <w:b/>
          <w:color w:val="auto"/>
          <w:sz w:val="32"/>
          <w:szCs w:val="32"/>
        </w:rPr>
        <w:t>一是加强</w:t>
      </w:r>
      <w:r>
        <w:rPr>
          <w:rFonts w:hint="eastAsia" w:ascii="仿宋_GB2312" w:eastAsia="仿宋_GB2312" w:cs="楷体_GB2312"/>
          <w:b/>
          <w:color w:val="auto"/>
          <w:sz w:val="32"/>
          <w:szCs w:val="32"/>
          <w:lang w:eastAsia="zh-CN"/>
        </w:rPr>
        <w:t>学习培训</w:t>
      </w:r>
      <w:r>
        <w:rPr>
          <w:rFonts w:hint="eastAsia" w:ascii="仿宋_GB2312" w:eastAsia="仿宋_GB2312" w:cs="楷体_GB2312"/>
          <w:b/>
          <w:color w:val="auto"/>
          <w:sz w:val="32"/>
          <w:szCs w:val="32"/>
        </w:rPr>
        <w:t>。</w:t>
      </w:r>
      <w:r>
        <w:rPr>
          <w:rFonts w:hint="eastAsia" w:ascii="仿宋_GB2312" w:hAnsi="Adobe 仿宋 Std R" w:eastAsia="仿宋_GB2312" w:cs="仿宋_GB2312"/>
          <w:color w:val="auto"/>
          <w:kern w:val="0"/>
          <w:sz w:val="32"/>
          <w:szCs w:val="32"/>
        </w:rPr>
        <w:t>加强政府信息公开</w:t>
      </w:r>
      <w:r>
        <w:rPr>
          <w:rFonts w:hint="eastAsia" w:ascii="仿宋_GB2312" w:hAnsi="Adobe 仿宋 Std R" w:eastAsia="仿宋_GB2312" w:cs="仿宋_GB2312"/>
          <w:color w:val="auto"/>
          <w:kern w:val="0"/>
          <w:sz w:val="32"/>
          <w:szCs w:val="32"/>
          <w:lang w:eastAsia="zh-CN"/>
        </w:rPr>
        <w:t>知识相关培训</w:t>
      </w:r>
      <w:r>
        <w:rPr>
          <w:rFonts w:hint="eastAsia" w:ascii="仿宋_GB2312" w:hAnsi="Adobe 仿宋 Std R" w:eastAsia="仿宋_GB2312" w:cs="仿宋_GB2312"/>
          <w:color w:val="auto"/>
          <w:kern w:val="0"/>
          <w:sz w:val="32"/>
          <w:szCs w:val="32"/>
        </w:rPr>
        <w:t>，</w:t>
      </w:r>
      <w:r>
        <w:rPr>
          <w:rFonts w:hint="eastAsia" w:ascii="仿宋_GB2312" w:hAnsi="Adobe 仿宋 Std R" w:eastAsia="仿宋_GB2312" w:cs="仿宋_GB2312"/>
          <w:color w:val="auto"/>
          <w:kern w:val="0"/>
          <w:sz w:val="32"/>
          <w:szCs w:val="32"/>
          <w:lang w:eastAsia="zh-CN"/>
        </w:rPr>
        <w:t>全面提升政府信息公开工作意识与工作能力。</w:t>
      </w:r>
    </w:p>
    <w:p>
      <w:pPr>
        <w:keepNext w:val="0"/>
        <w:keepLines w:val="0"/>
        <w:pageBreakBefore w:val="0"/>
        <w:widowControl/>
        <w:shd w:val="clear" w:color="auto" w:fill="FFFFFF"/>
        <w:kinsoku/>
        <w:overflowPunct/>
        <w:topLinePunct w:val="0"/>
        <w:autoSpaceDE/>
        <w:autoSpaceDN/>
        <w:bidi w:val="0"/>
        <w:adjustRightInd/>
        <w:snapToGrid/>
        <w:spacing w:line="578" w:lineRule="exact"/>
        <w:ind w:firstLine="643" w:firstLineChars="200"/>
        <w:textAlignment w:val="auto"/>
        <w:rPr>
          <w:rFonts w:ascii="仿宋_GB2312" w:eastAsia="仿宋_GB2312" w:cs="楷体_GB2312"/>
          <w:b/>
          <w:color w:val="auto"/>
          <w:sz w:val="32"/>
          <w:szCs w:val="32"/>
        </w:rPr>
      </w:pPr>
      <w:r>
        <w:rPr>
          <w:rFonts w:hint="eastAsia" w:ascii="仿宋_GB2312" w:hAnsi="Adobe 仿宋 Std R" w:eastAsia="仿宋_GB2312" w:cs="仿宋_GB2312"/>
          <w:b/>
          <w:bCs/>
          <w:color w:val="auto"/>
          <w:kern w:val="0"/>
          <w:sz w:val="32"/>
          <w:szCs w:val="32"/>
          <w:lang w:eastAsia="zh-CN"/>
        </w:rPr>
        <w:t>二</w:t>
      </w:r>
      <w:r>
        <w:rPr>
          <w:rFonts w:hint="eastAsia" w:ascii="仿宋_GB2312" w:hAnsi="仿宋" w:eastAsia="仿宋_GB2312" w:cs="仿宋_GB2312"/>
          <w:b/>
          <w:bCs/>
          <w:color w:val="auto"/>
          <w:sz w:val="32"/>
          <w:szCs w:val="32"/>
          <w:lang w:eastAsia="zh-CN"/>
        </w:rPr>
        <w:t>是强化内容审核。</w:t>
      </w:r>
      <w:r>
        <w:rPr>
          <w:rFonts w:hint="eastAsia" w:ascii="仿宋_GB2312" w:hAnsi="Adobe 仿宋 Std R" w:eastAsia="仿宋_GB2312" w:cs="仿宋_GB2312"/>
          <w:color w:val="auto"/>
          <w:kern w:val="0"/>
          <w:sz w:val="32"/>
          <w:szCs w:val="32"/>
          <w:lang w:eastAsia="zh-CN"/>
        </w:rPr>
        <w:t>按照“谁公开谁负责”的原则，做到“三审三校”，逐字逐句严格审核，坚决防止含有错敏字的信息公开发布。</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暂无其他需要报告的事项。</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p>
    <w:p>
      <w:pPr>
        <w:pStyle w:val="2"/>
        <w:keepNext w:val="0"/>
        <w:keepLines w:val="0"/>
        <w:pageBreakBefore w:val="0"/>
        <w:kinsoku/>
        <w:overflowPunct/>
        <w:topLinePunct w:val="0"/>
        <w:autoSpaceDE/>
        <w:autoSpaceDN/>
        <w:bidi w:val="0"/>
        <w:adjustRightInd/>
        <w:snapToGrid/>
        <w:spacing w:line="578" w:lineRule="exac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right"/>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国家税务总局贵州双龙航空港经济区税务局</w:t>
      </w:r>
    </w:p>
    <w:p>
      <w:pPr>
        <w:keepNext w:val="0"/>
        <w:keepLines w:val="0"/>
        <w:pageBreakBefore w:val="0"/>
        <w:widowControl/>
        <w:kinsoku/>
        <w:wordWrap w:val="0"/>
        <w:overflowPunct/>
        <w:topLinePunct w:val="0"/>
        <w:autoSpaceDE/>
        <w:autoSpaceDN/>
        <w:bidi w:val="0"/>
        <w:adjustRightInd/>
        <w:snapToGrid/>
        <w:spacing w:line="578" w:lineRule="exact"/>
        <w:ind w:firstLine="640" w:firstLineChars="200"/>
        <w:jc w:val="right"/>
        <w:textAlignment w:val="auto"/>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 xml:space="preserve">2023年1月13日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B0"/>
    <w:rsid w:val="000919BE"/>
    <w:rsid w:val="007B7594"/>
    <w:rsid w:val="008E109F"/>
    <w:rsid w:val="00A22B2C"/>
    <w:rsid w:val="00F43AB0"/>
    <w:rsid w:val="02FF3DBF"/>
    <w:rsid w:val="07C721EB"/>
    <w:rsid w:val="09583E34"/>
    <w:rsid w:val="09EF13D6"/>
    <w:rsid w:val="0A2D1A4B"/>
    <w:rsid w:val="0B4D039B"/>
    <w:rsid w:val="0BB231C0"/>
    <w:rsid w:val="0EE61CF5"/>
    <w:rsid w:val="138B6D2E"/>
    <w:rsid w:val="14883BA6"/>
    <w:rsid w:val="180B4936"/>
    <w:rsid w:val="184935AC"/>
    <w:rsid w:val="19732B26"/>
    <w:rsid w:val="1B8A4C8F"/>
    <w:rsid w:val="1C1F4700"/>
    <w:rsid w:val="1D961F13"/>
    <w:rsid w:val="1E8037B3"/>
    <w:rsid w:val="1EA04BFE"/>
    <w:rsid w:val="251114FC"/>
    <w:rsid w:val="2598072B"/>
    <w:rsid w:val="27876CD9"/>
    <w:rsid w:val="2A3C0A47"/>
    <w:rsid w:val="2BAC4FAC"/>
    <w:rsid w:val="2C0317D4"/>
    <w:rsid w:val="2FA018FA"/>
    <w:rsid w:val="305570E5"/>
    <w:rsid w:val="31C63F4E"/>
    <w:rsid w:val="323352F9"/>
    <w:rsid w:val="33E23F7C"/>
    <w:rsid w:val="35A5496B"/>
    <w:rsid w:val="35C342CC"/>
    <w:rsid w:val="362769B2"/>
    <w:rsid w:val="37DB0F16"/>
    <w:rsid w:val="38FA3586"/>
    <w:rsid w:val="411742D4"/>
    <w:rsid w:val="41423D25"/>
    <w:rsid w:val="438B3563"/>
    <w:rsid w:val="4407295B"/>
    <w:rsid w:val="45C2350E"/>
    <w:rsid w:val="47694E16"/>
    <w:rsid w:val="4A2A778A"/>
    <w:rsid w:val="4C8249DA"/>
    <w:rsid w:val="4CC97D8A"/>
    <w:rsid w:val="4EFC786C"/>
    <w:rsid w:val="53822F07"/>
    <w:rsid w:val="5A4D3344"/>
    <w:rsid w:val="5B3B24CD"/>
    <w:rsid w:val="5C415A12"/>
    <w:rsid w:val="5CB22219"/>
    <w:rsid w:val="5F904A90"/>
    <w:rsid w:val="5FFD091E"/>
    <w:rsid w:val="610E5E0F"/>
    <w:rsid w:val="65F408C6"/>
    <w:rsid w:val="66CF3DB3"/>
    <w:rsid w:val="68C868D5"/>
    <w:rsid w:val="6906565F"/>
    <w:rsid w:val="6FCD4F0D"/>
    <w:rsid w:val="73920378"/>
    <w:rsid w:val="770372F3"/>
    <w:rsid w:val="7B303EAF"/>
    <w:rsid w:val="7B6B2FF2"/>
    <w:rsid w:val="7B856D17"/>
    <w:rsid w:val="7DBA61C9"/>
    <w:rsid w:val="7FAF0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Balloon Text"/>
    <w:basedOn w:val="1"/>
    <w:link w:val="9"/>
    <w:semiHidden/>
    <w:unhideWhenUsed/>
    <w:qFormat/>
    <w:uiPriority w:val="99"/>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402</Words>
  <Characters>2295</Characters>
  <Lines>19</Lines>
  <Paragraphs>5</Paragraphs>
  <TotalTime>11</TotalTime>
  <ScaleCrop>false</ScaleCrop>
  <LinksUpToDate>false</LinksUpToDate>
  <CharactersWithSpaces>2692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2022-01-24T01:59:00Z</dcterms:created>
  <dc:creator>张霞</dc:creator>
  <cp:lastModifiedBy>杜彩霞</cp:lastModifiedBy>
  <cp:lastPrinted>2023-01-16T06:12:00Z</cp:lastPrinted>
  <dcterms:modified xsi:type="dcterms:W3CDTF">2023-01-29T03:50:06Z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