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仿宋" w:eastAsia="方正小标宋简体"/>
          <w:sz w:val="44"/>
          <w:szCs w:val="44"/>
        </w:rPr>
      </w:pPr>
      <w:bookmarkStart w:id="0" w:name="_GoBack"/>
      <w:r>
        <w:rPr>
          <w:rFonts w:hint="eastAsia" w:ascii="方正小标宋简体" w:hAnsi="仿宋" w:eastAsia="方正小标宋简体"/>
          <w:sz w:val="44"/>
          <w:szCs w:val="44"/>
        </w:rPr>
        <w:t>国家税务总局开阳县税务局</w:t>
      </w:r>
      <w:bookmarkEnd w:id="0"/>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2021年政府信息公开工作年度报告</w:t>
      </w:r>
    </w:p>
    <w:p>
      <w:pPr>
        <w:tabs>
          <w:tab w:val="left" w:pos="735"/>
        </w:tabs>
        <w:spacing w:line="560" w:lineRule="exact"/>
        <w:rPr>
          <w:rFonts w:ascii="仿宋_GB2312" w:hAnsi="仿宋" w:eastAsia="仿宋_GB2312"/>
          <w:sz w:val="32"/>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ascii="仿宋_GB2312" w:eastAsia="仿宋_GB2312"/>
          <w:spacing w:val="4"/>
          <w:sz w:val="32"/>
          <w:szCs w:val="32"/>
        </w:rPr>
      </w:pPr>
      <w:r>
        <w:rPr>
          <w:rFonts w:hint="eastAsia" w:ascii="仿宋_GB2312" w:eastAsia="仿宋_GB2312"/>
          <w:sz w:val="32"/>
          <w:szCs w:val="32"/>
        </w:rPr>
        <w:t>本报告</w:t>
      </w:r>
      <w:r>
        <w:rPr>
          <w:rFonts w:hint="eastAsia" w:ascii="仿宋_GB2312" w:eastAsia="仿宋_GB2312"/>
          <w:sz w:val="32"/>
          <w:szCs w:val="32"/>
          <w:lang w:eastAsia="zh-CN"/>
        </w:rPr>
        <w:t>按</w:t>
      </w:r>
      <w:r>
        <w:rPr>
          <w:rFonts w:hint="eastAsia" w:ascii="仿宋_GB2312" w:eastAsia="仿宋_GB2312"/>
          <w:sz w:val="32"/>
          <w:szCs w:val="32"/>
        </w:rPr>
        <w:t>《中华人民共和国政府信息公开条例》要求编制。全文包括总体情况</w:t>
      </w:r>
      <w:r>
        <w:rPr>
          <w:rFonts w:hint="eastAsia" w:ascii="仿宋_GB2312" w:eastAsia="仿宋_GB2312"/>
          <w:sz w:val="32"/>
          <w:szCs w:val="32"/>
          <w:lang w:eastAsia="zh-CN"/>
        </w:rPr>
        <w:t>、</w:t>
      </w:r>
      <w:r>
        <w:rPr>
          <w:rFonts w:hint="eastAsia" w:ascii="仿宋_GB2312" w:eastAsia="仿宋_GB2312"/>
          <w:sz w:val="32"/>
          <w:szCs w:val="32"/>
        </w:rPr>
        <w:t>主动公开政府信息情况</w:t>
      </w:r>
      <w:r>
        <w:rPr>
          <w:rFonts w:hint="eastAsia" w:ascii="仿宋_GB2312" w:eastAsia="仿宋_GB2312"/>
          <w:sz w:val="32"/>
          <w:szCs w:val="32"/>
          <w:lang w:eastAsia="zh-CN"/>
        </w:rPr>
        <w:t>、</w:t>
      </w:r>
      <w:r>
        <w:rPr>
          <w:rFonts w:hint="eastAsia" w:ascii="仿宋_GB2312" w:eastAsia="仿宋_GB2312"/>
          <w:sz w:val="32"/>
          <w:szCs w:val="32"/>
        </w:rPr>
        <w:t>收到和处理政府信息公开申请情况</w:t>
      </w:r>
      <w:r>
        <w:rPr>
          <w:rFonts w:hint="eastAsia" w:ascii="仿宋_GB2312" w:eastAsia="仿宋_GB2312"/>
          <w:sz w:val="32"/>
          <w:szCs w:val="32"/>
          <w:lang w:eastAsia="zh-CN"/>
        </w:rPr>
        <w:t>、</w:t>
      </w:r>
      <w:r>
        <w:rPr>
          <w:rFonts w:hint="eastAsia" w:ascii="仿宋_GB2312" w:eastAsia="仿宋_GB2312"/>
          <w:sz w:val="32"/>
          <w:szCs w:val="32"/>
        </w:rPr>
        <w:t>政府信息公开行政复议</w:t>
      </w:r>
      <w:r>
        <w:rPr>
          <w:rFonts w:hint="eastAsia" w:ascii="仿宋_GB2312" w:eastAsia="仿宋_GB2312"/>
          <w:sz w:val="32"/>
          <w:szCs w:val="32"/>
          <w:lang w:eastAsia="zh-CN"/>
        </w:rPr>
        <w:t>或</w:t>
      </w:r>
      <w:r>
        <w:rPr>
          <w:rFonts w:hint="eastAsia" w:ascii="仿宋_GB2312" w:eastAsia="仿宋_GB2312"/>
          <w:sz w:val="32"/>
          <w:szCs w:val="32"/>
        </w:rPr>
        <w:t>行政诉讼情况，存在的主要问题及改进情况</w:t>
      </w:r>
      <w:r>
        <w:rPr>
          <w:rFonts w:hint="eastAsia" w:ascii="仿宋_GB2312" w:eastAsia="仿宋_GB2312"/>
          <w:sz w:val="32"/>
          <w:szCs w:val="32"/>
          <w:lang w:eastAsia="zh-CN"/>
        </w:rPr>
        <w:t>、</w:t>
      </w:r>
      <w:r>
        <w:rPr>
          <w:rFonts w:hint="eastAsia" w:ascii="仿宋_GB2312" w:eastAsia="仿宋_GB2312"/>
          <w:sz w:val="32"/>
          <w:szCs w:val="32"/>
        </w:rPr>
        <w:t>其他需要报告的事项六个部分。报告中所列数据为国家税务总局开阳县税务局2021年整年数据，统计期限自2021年1月1日起至2021年12月31日止。报告电子版可在国家税务总局贵州省税务局网站（http://www.guizhou.chinatax.gov.cn/）查阅。如有疑问请致电国家税务总局开阳县税务局联系(地址：贵州省贵阳市开阳县城关镇城北路3号，邮编：550300，联系电话：0851-87222151)</w:t>
      </w:r>
      <w:r>
        <w:rPr>
          <w:rFonts w:hint="eastAsia" w:ascii="仿宋_GB2312" w:eastAsia="仿宋_GB2312"/>
          <w:color w:val="000000"/>
          <w:spacing w:val="4"/>
          <w:sz w:val="32"/>
          <w:szCs w:val="32"/>
        </w:rPr>
        <w:t>，竭诚欢迎您的关注支持和批评监督！</w:t>
      </w:r>
    </w:p>
    <w:p>
      <w:pPr>
        <w:tabs>
          <w:tab w:val="left" w:pos="6319"/>
        </w:tabs>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r>
        <w:rPr>
          <w:rFonts w:ascii="黑体" w:hAnsi="黑体" w:eastAsia="黑体"/>
          <w:sz w:val="32"/>
          <w:szCs w:val="32"/>
        </w:rPr>
        <w:tab/>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国家税务总局开阳县税务局以习近平新时代中国特色社会主义思想为指导，深入贯彻党的十九大和十九届二中、三中、四中、五中、六中全会精神,全面贯彻落实《中华人民共和国政府信息公开条例》和省局、市局相关文件要求，扎实开展政府信息公开工作，及时回应社会关切，不断增强纳税人和缴费人的获得感、满意度。</w:t>
      </w:r>
    </w:p>
    <w:p>
      <w:pPr>
        <w:numPr>
          <w:ilvl w:val="0"/>
          <w:numId w:val="1"/>
        </w:num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强化组织领导，扎实推进政务公开工作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国家税务总局</w:t>
      </w:r>
      <w:r>
        <w:rPr>
          <w:rFonts w:hint="eastAsia" w:ascii="仿宋_GB2312" w:hAnsi="仿宋_GB2312" w:eastAsia="仿宋_GB2312" w:cs="仿宋_GB2312"/>
          <w:sz w:val="32"/>
          <w:szCs w:val="32"/>
        </w:rPr>
        <w:t>开阳县税务局</w:t>
      </w:r>
      <w:r>
        <w:rPr>
          <w:rFonts w:hint="eastAsia" w:ascii="仿宋_GB2312" w:hAnsi="仿宋_GB2312" w:eastAsia="仿宋_GB2312" w:cs="仿宋_GB2312"/>
          <w:sz w:val="32"/>
          <w:szCs w:val="32"/>
          <w:lang w:eastAsia="zh-CN"/>
        </w:rPr>
        <w:t>党委</w:t>
      </w:r>
      <w:r>
        <w:rPr>
          <w:rFonts w:hint="eastAsia" w:ascii="仿宋_GB2312" w:hAnsi="仿宋_GB2312" w:eastAsia="仿宋_GB2312" w:cs="仿宋_GB2312"/>
          <w:sz w:val="32"/>
          <w:szCs w:val="32"/>
        </w:rPr>
        <w:t>高度重视涉税信息的主动公开工作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明确要求</w:t>
      </w:r>
      <w:r>
        <w:rPr>
          <w:rFonts w:hint="eastAsia" w:ascii="仿宋_GB2312" w:hAnsi="仿宋_GB2312" w:eastAsia="仿宋_GB2312" w:cs="仿宋_GB2312"/>
          <w:sz w:val="32"/>
          <w:szCs w:val="32"/>
          <w:lang w:eastAsia="zh-CN"/>
        </w:rPr>
        <w:t>政务公开要</w:t>
      </w:r>
      <w:r>
        <w:rPr>
          <w:rFonts w:hint="eastAsia" w:ascii="仿宋_GB2312" w:hAnsi="仿宋_GB2312" w:eastAsia="仿宋_GB2312" w:cs="仿宋_GB2312"/>
          <w:sz w:val="32"/>
          <w:szCs w:val="32"/>
        </w:rPr>
        <w:t>加强培训指导，</w:t>
      </w:r>
      <w:r>
        <w:rPr>
          <w:rFonts w:hint="eastAsia" w:ascii="仿宋_GB2312" w:hAnsi="仿宋_GB2312" w:eastAsia="仿宋_GB2312" w:cs="仿宋_GB2312"/>
          <w:sz w:val="32"/>
          <w:szCs w:val="32"/>
          <w:lang w:eastAsia="zh-CN"/>
        </w:rPr>
        <w:t>实现即时、真实、高质。政务公开工作由</w:t>
      </w:r>
      <w:r>
        <w:rPr>
          <w:rFonts w:hint="eastAsia" w:ascii="仿宋_GB2312" w:eastAsia="仿宋_GB2312"/>
          <w:snapToGrid w:val="0"/>
          <w:kern w:val="0"/>
          <w:sz w:val="32"/>
          <w:szCs w:val="32"/>
        </w:rPr>
        <w:t>办公室</w:t>
      </w:r>
      <w:r>
        <w:rPr>
          <w:rFonts w:hint="eastAsia" w:ascii="仿宋_GB2312" w:eastAsia="仿宋_GB2312"/>
          <w:snapToGrid w:val="0"/>
          <w:kern w:val="0"/>
          <w:sz w:val="32"/>
          <w:szCs w:val="32"/>
          <w:lang w:eastAsia="zh-CN"/>
        </w:rPr>
        <w:t>牵头、纳税服务股具体承办、各部门配合开展</w:t>
      </w:r>
      <w:r>
        <w:rPr>
          <w:rFonts w:hint="eastAsia" w:ascii="仿宋_GB2312" w:eastAsia="仿宋_GB2312"/>
          <w:snapToGrid w:val="0"/>
          <w:kern w:val="0"/>
          <w:sz w:val="32"/>
          <w:szCs w:val="32"/>
        </w:rPr>
        <w:t>政务公开工作</w:t>
      </w:r>
      <w:r>
        <w:rPr>
          <w:rFonts w:hint="eastAsia" w:ascii="仿宋_GB2312" w:eastAsia="仿宋_GB2312"/>
          <w:snapToGrid w:val="0"/>
          <w:kern w:val="0"/>
          <w:sz w:val="32"/>
          <w:szCs w:val="32"/>
          <w:lang w:eastAsia="zh-CN"/>
        </w:rPr>
        <w:t>，并</w:t>
      </w:r>
      <w:r>
        <w:rPr>
          <w:rFonts w:hint="eastAsia" w:ascii="仿宋_GB2312" w:eastAsia="仿宋_GB2312"/>
          <w:snapToGrid w:val="0"/>
          <w:kern w:val="0"/>
          <w:sz w:val="32"/>
          <w:szCs w:val="32"/>
        </w:rPr>
        <w:t>将政务公开情况纳入年度绩效考核，以考核促落实。</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（二）加大公开力度，加强平台建设与监督保障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1.主动公开。坚持</w:t>
      </w:r>
      <w:r>
        <w:rPr>
          <w:rFonts w:hint="eastAsia" w:ascii="仿宋_GB2312" w:hAnsi="仿宋_GB2312" w:eastAsia="仿宋_GB2312" w:cs="仿宋_GB2312"/>
          <w:sz w:val="32"/>
          <w:szCs w:val="32"/>
          <w:lang w:eastAsia="zh-CN"/>
        </w:rPr>
        <w:t>以“公开为常态，不公开为例外”</w:t>
      </w:r>
      <w:r>
        <w:rPr>
          <w:rFonts w:hint="eastAsia" w:ascii="仿宋_GB2312" w:hAnsi="仿宋_GB2312" w:eastAsia="仿宋_GB2312" w:cs="仿宋_GB2312"/>
          <w:sz w:val="32"/>
          <w:szCs w:val="32"/>
        </w:rPr>
        <w:t>的原则，充分利用办税服务厅、电子显示屏、微信等途径发布涉税政务信息，2021年，开阳县税务局累计对外公开服务电话受理纳税人、缴费人咨</w:t>
      </w:r>
      <w:r>
        <w:rPr>
          <w:rFonts w:hint="eastAsia" w:ascii="仿宋_GB2312" w:hAnsi="仿宋_GB2312" w:eastAsia="仿宋_GB2312" w:cs="仿宋_GB2312"/>
          <w:color w:val="auto"/>
          <w:sz w:val="32"/>
          <w:szCs w:val="32"/>
        </w:rPr>
        <w:t>询6072人次，微信发布信息60</w:t>
      </w:r>
      <w:r>
        <w:rPr>
          <w:rFonts w:hint="eastAsia" w:ascii="仿宋_GB2312" w:hAnsi="仿宋_GB2312" w:eastAsia="仿宋_GB2312" w:cs="仿宋_GB2312"/>
          <w:sz w:val="32"/>
          <w:szCs w:val="32"/>
        </w:rPr>
        <w:t>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2.依申请公开。开阳县税务局</w:t>
      </w:r>
      <w:r>
        <w:rPr>
          <w:rFonts w:hint="eastAsia" w:ascii="仿宋_GB2312" w:hAnsi="仿宋_GB2312" w:eastAsia="仿宋_GB2312" w:cs="仿宋_GB2312"/>
          <w:snapToGrid w:val="0"/>
          <w:kern w:val="0"/>
          <w:sz w:val="32"/>
          <w:szCs w:val="32"/>
        </w:rPr>
        <w:t>严格落实《税务机关政府信息公开申请办理规范》要求，</w:t>
      </w:r>
      <w:r>
        <w:rPr>
          <w:rFonts w:hint="eastAsia" w:ascii="仿宋_GB2312" w:hAnsi="仿宋_GB2312" w:eastAsia="仿宋_GB2312" w:cs="仿宋_GB2312"/>
          <w:sz w:val="32"/>
          <w:szCs w:val="32"/>
        </w:rPr>
        <w:t>只要接到公民申请，必按规定程序按时回复，必积极答疑解惑，提供相关政务文件。2021年开阳县税务局未收到依申请公开申请。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3.政府信息管理。开阳县税务局</w:t>
      </w:r>
      <w:r>
        <w:rPr>
          <w:rFonts w:hint="eastAsia" w:ascii="仿宋_GB2312" w:hAnsi="仿宋_GB2312" w:eastAsia="仿宋_GB2312" w:cs="仿宋_GB2312"/>
          <w:snapToGrid w:val="0"/>
          <w:kern w:val="0"/>
          <w:sz w:val="32"/>
          <w:szCs w:val="32"/>
        </w:rPr>
        <w:t>规范发布流程，</w:t>
      </w:r>
      <w:r>
        <w:rPr>
          <w:rFonts w:hint="eastAsia" w:ascii="仿宋_GB2312" w:hAnsi="仿宋_GB2312" w:eastAsia="仿宋_GB2312" w:cs="仿宋_GB2312"/>
          <w:sz w:val="32"/>
          <w:szCs w:val="32"/>
        </w:rPr>
        <w:t>在办理主动公开和申请公开时制作并留存工作底稿，</w:t>
      </w:r>
      <w:r>
        <w:rPr>
          <w:rFonts w:hint="eastAsia" w:ascii="仿宋_GB2312" w:hAnsi="仿宋_GB2312" w:eastAsia="仿宋_GB2312" w:cs="仿宋_GB2312"/>
          <w:snapToGrid w:val="0"/>
          <w:kern w:val="0"/>
          <w:sz w:val="32"/>
          <w:szCs w:val="32"/>
        </w:rPr>
        <w:t>严格把关政务信息公开审核。</w:t>
      </w:r>
    </w:p>
    <w:p>
      <w:pPr>
        <w:tabs>
          <w:tab w:val="left" w:pos="420"/>
          <w:tab w:val="left" w:pos="9240"/>
        </w:tabs>
        <w:overflowPunct w:val="0"/>
        <w:autoSpaceDE w:val="0"/>
        <w:autoSpaceDN w:val="0"/>
        <w:adjustRightInd w:val="0"/>
        <w:snapToGrid w:val="0"/>
        <w:spacing w:line="56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rPr>
        <w:t>4.平台建设。线上强化“互联网+纳税服务”平台建设，积极推广“非接触式”办税缴费服务</w:t>
      </w:r>
      <w:r>
        <w:rPr>
          <w:rFonts w:hint="eastAsia" w:ascii="仿宋_GB2312" w:hAnsi="仿宋_GB2312" w:eastAsia="仿宋_GB2312" w:cs="仿宋_GB2312"/>
          <w:sz w:val="32"/>
          <w:szCs w:val="32"/>
          <w:lang w:eastAsia="zh-CN"/>
        </w:rPr>
        <w:t>，实现让“纳税人少跑路，数据多跑路”，</w:t>
      </w:r>
      <w:r>
        <w:rPr>
          <w:rFonts w:hint="eastAsia" w:ascii="仿宋_GB2312" w:hAnsi="仿宋_GB2312" w:eastAsia="仿宋_GB2312" w:cs="仿宋_GB2312"/>
          <w:sz w:val="32"/>
          <w:szCs w:val="32"/>
        </w:rPr>
        <w:t>纳税人和税务部门</w:t>
      </w:r>
      <w:r>
        <w:rPr>
          <w:rFonts w:hint="eastAsia" w:ascii="仿宋_GB2312" w:hAnsi="仿宋_GB2312" w:eastAsia="仿宋_GB2312" w:cs="仿宋_GB2312"/>
          <w:sz w:val="32"/>
          <w:szCs w:val="32"/>
          <w:lang w:eastAsia="zh-CN"/>
        </w:rPr>
        <w:t>沟通更加高效便捷。</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开阳县税务局利用</w:t>
      </w:r>
      <w:r>
        <w:rPr>
          <w:rFonts w:hint="eastAsia" w:ascii="仿宋_GB2312" w:hAnsi="仿宋_GB2312" w:eastAsia="仿宋_GB2312" w:cs="仿宋_GB2312"/>
          <w:sz w:val="32"/>
          <w:szCs w:val="32"/>
          <w:lang w:eastAsia="zh-CN"/>
        </w:rPr>
        <w:t>线上直播形式的</w:t>
      </w:r>
      <w:r>
        <w:rPr>
          <w:rFonts w:hint="eastAsia" w:ascii="仿宋_GB2312" w:hAnsi="仿宋_GB2312" w:eastAsia="仿宋_GB2312" w:cs="仿宋_GB2312"/>
          <w:sz w:val="32"/>
          <w:szCs w:val="32"/>
        </w:rPr>
        <w:t>“空中税课”</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纳税人进行</w:t>
      </w:r>
      <w:r>
        <w:rPr>
          <w:rFonts w:hint="eastAsia" w:ascii="仿宋_GB2312" w:hAnsi="仿宋_GB2312" w:eastAsia="仿宋_GB2312" w:cs="仿宋_GB2312"/>
          <w:sz w:val="32"/>
          <w:szCs w:val="32"/>
          <w:lang w:eastAsia="zh-CN"/>
        </w:rPr>
        <w:t>税务</w:t>
      </w:r>
      <w:r>
        <w:rPr>
          <w:rFonts w:hint="eastAsia" w:ascii="仿宋_GB2312" w:hAnsi="仿宋_GB2312" w:eastAsia="仿宋_GB2312" w:cs="仿宋_GB2312"/>
          <w:sz w:val="32"/>
          <w:szCs w:val="32"/>
        </w:rPr>
        <w:t>辅导，共</w:t>
      </w:r>
      <w:r>
        <w:rPr>
          <w:rFonts w:hint="eastAsia" w:ascii="仿宋_GB2312" w:hAnsi="仿宋_GB2312" w:eastAsia="仿宋_GB2312" w:cs="仿宋_GB2312"/>
          <w:color w:val="auto"/>
          <w:sz w:val="32"/>
          <w:szCs w:val="32"/>
        </w:rPr>
        <w:t>开展10期，辅导2651余人次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依托电</w:t>
      </w:r>
      <w:r>
        <w:rPr>
          <w:rFonts w:hint="eastAsia" w:ascii="仿宋_GB2312" w:hAnsi="仿宋_GB2312" w:eastAsia="仿宋_GB2312" w:cs="仿宋_GB2312"/>
          <w:sz w:val="32"/>
          <w:szCs w:val="32"/>
        </w:rPr>
        <w:t>子税务局、税务公众号、微信工作群等</w:t>
      </w:r>
      <w:r>
        <w:rPr>
          <w:rFonts w:hint="eastAsia" w:ascii="仿宋_GB2312" w:hAnsi="仿宋_GB2312" w:eastAsia="仿宋_GB2312" w:cs="仿宋_GB2312"/>
          <w:sz w:val="32"/>
          <w:szCs w:val="32"/>
          <w:lang w:eastAsia="zh-CN"/>
        </w:rPr>
        <w:t>平台</w:t>
      </w:r>
      <w:r>
        <w:rPr>
          <w:rFonts w:hint="eastAsia" w:ascii="仿宋_GB2312" w:hAnsi="仿宋_GB2312" w:eastAsia="仿宋_GB2312" w:cs="仿宋_GB2312"/>
          <w:sz w:val="32"/>
          <w:szCs w:val="32"/>
        </w:rPr>
        <w:t>帮助纳税人</w:t>
      </w:r>
      <w:r>
        <w:rPr>
          <w:rFonts w:hint="eastAsia" w:ascii="仿宋_GB2312" w:hAnsi="仿宋_GB2312" w:eastAsia="仿宋_GB2312" w:cs="仿宋_GB2312"/>
          <w:sz w:val="32"/>
          <w:szCs w:val="32"/>
          <w:lang w:eastAsia="zh-CN"/>
        </w:rPr>
        <w:t>线上</w:t>
      </w:r>
      <w:r>
        <w:rPr>
          <w:rFonts w:hint="eastAsia" w:ascii="仿宋_GB2312" w:hAnsi="仿宋_GB2312" w:eastAsia="仿宋_GB2312" w:cs="仿宋_GB2312"/>
          <w:sz w:val="32"/>
          <w:szCs w:val="32"/>
        </w:rPr>
        <w:t>了解最新税收相关政策。线下通过办税大厅的</w:t>
      </w:r>
      <w:r>
        <w:rPr>
          <w:rFonts w:hint="eastAsia" w:ascii="仿宋_GB2312" w:hAnsi="仿宋_GB2312" w:eastAsia="仿宋_GB2312" w:cs="仿宋_GB2312"/>
          <w:snapToGrid w:val="0"/>
          <w:kern w:val="0"/>
          <w:sz w:val="32"/>
          <w:szCs w:val="32"/>
        </w:rPr>
        <w:t>宣传栏、宣传册、展板、LED展示屏等，及时公开税收文件、办事指南等内容，切实保障纳税人知情权</w:t>
      </w:r>
      <w:r>
        <w:rPr>
          <w:rFonts w:hint="eastAsia" w:ascii="仿宋_GB2312" w:hAnsi="仿宋_GB2312" w:eastAsia="仿宋_GB2312" w:cs="仿宋_GB2312"/>
          <w:snapToGrid w:val="0"/>
          <w:kern w:val="0"/>
          <w:sz w:val="32"/>
          <w:szCs w:val="32"/>
          <w:lang w:eastAsia="zh-CN"/>
        </w:rPr>
        <w:t>；</w:t>
      </w:r>
      <w:r>
        <w:rPr>
          <w:rFonts w:hint="eastAsia" w:ascii="仿宋_GB2312" w:hAnsi="仿宋" w:eastAsia="仿宋_GB2312" w:cs="仿宋"/>
          <w:sz w:val="32"/>
          <w:szCs w:val="32"/>
        </w:rPr>
        <w:t>持续落实好“套餐式”服务、“一窗通办”“简事快办”等服务模式，</w:t>
      </w:r>
      <w:r>
        <w:rPr>
          <w:rFonts w:hint="eastAsia" w:ascii="仿宋_GB2312" w:eastAsia="仿宋_GB2312"/>
          <w:snapToGrid w:val="0"/>
          <w:kern w:val="0"/>
          <w:sz w:val="32"/>
          <w:szCs w:val="32"/>
          <w:lang w:eastAsia="zh-CN"/>
        </w:rPr>
        <w:t>配合做好</w:t>
      </w:r>
      <w:r>
        <w:rPr>
          <w:rFonts w:hint="eastAsia" w:ascii="仿宋_GB2312" w:eastAsia="仿宋_GB2312"/>
          <w:snapToGrid w:val="0"/>
          <w:kern w:val="0"/>
          <w:sz w:val="32"/>
          <w:szCs w:val="32"/>
        </w:rPr>
        <w:t>政务服务“好差评”</w:t>
      </w:r>
      <w:r>
        <w:rPr>
          <w:rFonts w:hint="eastAsia" w:ascii="仿宋_GB2312" w:eastAsia="仿宋_GB2312"/>
          <w:snapToGrid w:val="0"/>
          <w:kern w:val="0"/>
          <w:sz w:val="32"/>
          <w:szCs w:val="32"/>
          <w:lang w:eastAsia="zh-CN"/>
        </w:rPr>
        <w:t>工作；</w:t>
      </w:r>
      <w:r>
        <w:rPr>
          <w:rFonts w:hint="eastAsia" w:ascii="仿宋_GB2312" w:hAnsi="仿宋_GB2312" w:eastAsia="仿宋_GB2312" w:cs="仿宋_GB2312"/>
          <w:sz w:val="32"/>
          <w:szCs w:val="32"/>
        </w:rPr>
        <w:t>通过电话</w:t>
      </w:r>
      <w:r>
        <w:rPr>
          <w:rFonts w:hint="eastAsia" w:ascii="仿宋_GB2312" w:hAnsi="仿宋_GB2312" w:eastAsia="仿宋_GB2312" w:cs="仿宋_GB2312"/>
          <w:snapToGrid w:val="0"/>
          <w:kern w:val="0"/>
          <w:sz w:val="32"/>
          <w:szCs w:val="32"/>
        </w:rPr>
        <w:t>及时了解纳税人诉求，收集纳税人意见并提出解决方案，</w:t>
      </w:r>
      <w:r>
        <w:rPr>
          <w:rFonts w:hint="eastAsia" w:ascii="仿宋_GB2312" w:hAnsi="仿宋_GB2312" w:eastAsia="仿宋_GB2312" w:cs="仿宋_GB2312"/>
          <w:snapToGrid w:val="0"/>
          <w:kern w:val="0"/>
          <w:sz w:val="32"/>
          <w:szCs w:val="32"/>
          <w:lang w:eastAsia="zh-CN"/>
        </w:rPr>
        <w:t>使服务更贴心优质</w:t>
      </w:r>
      <w:r>
        <w:rPr>
          <w:rFonts w:hint="eastAsia" w:ascii="仿宋_GB2312" w:hAnsi="仿宋_GB2312" w:eastAsia="仿宋_GB2312" w:cs="仿宋_GB2312"/>
          <w:snapToGrid w:val="0"/>
          <w:kern w:val="0"/>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5.监督保障。开阳县税务局设立有效监督机制，通过公布主要负责人和相关部门电话等方式，让纳税人、缴费人能够有效监督、有门投诉。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tbl>
      <w:tblPr>
        <w:tblStyle w:val="4"/>
        <w:tblW w:w="0" w:type="auto"/>
        <w:jc w:val="center"/>
        <w:tblLayout w:type="fixed"/>
        <w:tblCellMar>
          <w:top w:w="0" w:type="dxa"/>
          <w:left w:w="108" w:type="dxa"/>
          <w:bottom w:w="0" w:type="dxa"/>
          <w:right w:w="108" w:type="dxa"/>
        </w:tblCellMar>
      </w:tblPr>
      <w:tblGrid>
        <w:gridCol w:w="2849"/>
        <w:gridCol w:w="2026"/>
        <w:gridCol w:w="2025"/>
        <w:gridCol w:w="1740"/>
      </w:tblGrid>
      <w:tr>
        <w:tblPrEx>
          <w:tblCellMar>
            <w:top w:w="0" w:type="dxa"/>
            <w:left w:w="108" w:type="dxa"/>
            <w:bottom w:w="0" w:type="dxa"/>
            <w:right w:w="108" w:type="dxa"/>
          </w:tblCellMar>
        </w:tblPrEx>
        <w:trPr>
          <w:trHeight w:val="434" w:hRule="atLeast"/>
          <w:jc w:val="center"/>
        </w:trPr>
        <w:tc>
          <w:tcPr>
            <w:tcW w:w="8640" w:type="dxa"/>
            <w:gridSpan w:val="4"/>
            <w:tcBorders>
              <w:top w:val="single" w:color="auto" w:sz="12" w:space="0"/>
              <w:left w:val="single" w:color="auto" w:sz="12" w:space="0"/>
              <w:bottom w:val="single" w:color="auto" w:sz="4" w:space="0"/>
              <w:right w:val="single" w:color="000000" w:sz="12" w:space="0"/>
            </w:tcBorders>
            <w:noWrap/>
            <w:vAlign w:val="center"/>
          </w:tcPr>
          <w:p>
            <w:pPr>
              <w:widowControl/>
              <w:spacing w:line="560" w:lineRule="exact"/>
              <w:jc w:val="center"/>
              <w:rPr>
                <w:rFonts w:ascii="方正粗黑宋简体" w:hAnsi="方正粗黑宋简体" w:eastAsia="方正粗黑宋简体" w:cs="宋体"/>
                <w:kern w:val="0"/>
                <w:sz w:val="24"/>
                <w:szCs w:val="24"/>
              </w:rPr>
            </w:pPr>
            <w:r>
              <w:rPr>
                <w:rFonts w:hint="eastAsia" w:ascii="仿宋_GB2312" w:hAnsi="仿宋_GB2312" w:eastAsia="仿宋_GB2312" w:cs="仿宋_GB2312"/>
                <w:kern w:val="0"/>
                <w:sz w:val="20"/>
                <w:szCs w:val="20"/>
              </w:rPr>
              <w:t>第二十条第（一）项</w:t>
            </w:r>
          </w:p>
        </w:tc>
      </w:tr>
      <w:tr>
        <w:tblPrEx>
          <w:tblCellMar>
            <w:top w:w="0" w:type="dxa"/>
            <w:left w:w="108" w:type="dxa"/>
            <w:bottom w:w="0" w:type="dxa"/>
            <w:right w:w="108" w:type="dxa"/>
          </w:tblCellMar>
        </w:tblPrEx>
        <w:trPr>
          <w:trHeight w:val="412" w:hRule="atLeast"/>
          <w:jc w:val="center"/>
        </w:trPr>
        <w:tc>
          <w:tcPr>
            <w:tcW w:w="2849" w:type="dxa"/>
            <w:tcBorders>
              <w:top w:val="nil"/>
              <w:left w:val="single" w:color="auto" w:sz="12"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信息内容</w:t>
            </w:r>
          </w:p>
        </w:tc>
        <w:tc>
          <w:tcPr>
            <w:tcW w:w="2026"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本年制作数量</w:t>
            </w:r>
          </w:p>
        </w:tc>
        <w:tc>
          <w:tcPr>
            <w:tcW w:w="2025"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本年新公开数量</w:t>
            </w:r>
          </w:p>
        </w:tc>
        <w:tc>
          <w:tcPr>
            <w:tcW w:w="1740"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现行有效件数</w:t>
            </w:r>
          </w:p>
        </w:tc>
      </w:tr>
      <w:tr>
        <w:tblPrEx>
          <w:tblCellMar>
            <w:top w:w="0" w:type="dxa"/>
            <w:left w:w="108" w:type="dxa"/>
            <w:bottom w:w="0" w:type="dxa"/>
            <w:right w:w="108" w:type="dxa"/>
          </w:tblCellMar>
        </w:tblPrEx>
        <w:trPr>
          <w:trHeight w:val="412" w:hRule="atLeast"/>
          <w:jc w:val="center"/>
        </w:trPr>
        <w:tc>
          <w:tcPr>
            <w:tcW w:w="2849" w:type="dxa"/>
            <w:tcBorders>
              <w:top w:val="nil"/>
              <w:left w:val="single" w:color="auto" w:sz="12"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规章</w:t>
            </w:r>
          </w:p>
        </w:tc>
        <w:tc>
          <w:tcPr>
            <w:tcW w:w="2026"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2025"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1740"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412" w:hRule="atLeast"/>
          <w:jc w:val="center"/>
        </w:trPr>
        <w:tc>
          <w:tcPr>
            <w:tcW w:w="2849" w:type="dxa"/>
            <w:tcBorders>
              <w:top w:val="nil"/>
              <w:left w:val="single" w:color="auto" w:sz="12"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行政规范性文件</w:t>
            </w:r>
          </w:p>
        </w:tc>
        <w:tc>
          <w:tcPr>
            <w:tcW w:w="2026"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2025"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1740"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412" w:hRule="atLeast"/>
          <w:jc w:val="center"/>
        </w:trPr>
        <w:tc>
          <w:tcPr>
            <w:tcW w:w="8640" w:type="dxa"/>
            <w:gridSpan w:val="4"/>
            <w:tcBorders>
              <w:top w:val="single" w:color="auto" w:sz="4" w:space="0"/>
              <w:left w:val="single" w:color="auto" w:sz="12" w:space="0"/>
              <w:bottom w:val="single" w:color="auto" w:sz="4" w:space="0"/>
              <w:right w:val="single" w:color="000000" w:sz="12" w:space="0"/>
            </w:tcBorders>
            <w:noWrap/>
            <w:vAlign w:val="center"/>
          </w:tcPr>
          <w:p>
            <w:pPr>
              <w:widowControl/>
              <w:spacing w:line="560" w:lineRule="exact"/>
              <w:jc w:val="center"/>
              <w:rPr>
                <w:rFonts w:ascii="方正粗黑宋简体" w:hAnsi="方正粗黑宋简体" w:eastAsia="方正粗黑宋简体" w:cs="宋体"/>
                <w:kern w:val="0"/>
                <w:sz w:val="24"/>
                <w:szCs w:val="24"/>
              </w:rPr>
            </w:pPr>
            <w:r>
              <w:rPr>
                <w:rFonts w:hint="eastAsia" w:ascii="仿宋_GB2312" w:hAnsi="仿宋_GB2312" w:eastAsia="仿宋_GB2312" w:cs="仿宋_GB2312"/>
                <w:kern w:val="0"/>
                <w:sz w:val="20"/>
                <w:szCs w:val="20"/>
              </w:rPr>
              <w:t>第二十条第（五）项</w:t>
            </w:r>
          </w:p>
        </w:tc>
      </w:tr>
      <w:tr>
        <w:tblPrEx>
          <w:tblCellMar>
            <w:top w:w="0" w:type="dxa"/>
            <w:left w:w="108" w:type="dxa"/>
            <w:bottom w:w="0" w:type="dxa"/>
            <w:right w:w="108" w:type="dxa"/>
          </w:tblCellMar>
        </w:tblPrEx>
        <w:trPr>
          <w:trHeight w:val="412" w:hRule="atLeast"/>
          <w:jc w:val="center"/>
        </w:trPr>
        <w:tc>
          <w:tcPr>
            <w:tcW w:w="2849" w:type="dxa"/>
            <w:tcBorders>
              <w:top w:val="nil"/>
              <w:left w:val="single" w:color="auto" w:sz="12"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信息内容</w:t>
            </w:r>
          </w:p>
        </w:tc>
        <w:tc>
          <w:tcPr>
            <w:tcW w:w="5791" w:type="dxa"/>
            <w:gridSpan w:val="3"/>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本年处理决定数量</w:t>
            </w:r>
          </w:p>
        </w:tc>
      </w:tr>
      <w:tr>
        <w:tblPrEx>
          <w:tblCellMar>
            <w:top w:w="0" w:type="dxa"/>
            <w:left w:w="108" w:type="dxa"/>
            <w:bottom w:w="0" w:type="dxa"/>
            <w:right w:w="108" w:type="dxa"/>
          </w:tblCellMar>
        </w:tblPrEx>
        <w:trPr>
          <w:trHeight w:val="412" w:hRule="atLeast"/>
          <w:jc w:val="center"/>
        </w:trPr>
        <w:tc>
          <w:tcPr>
            <w:tcW w:w="2849" w:type="dxa"/>
            <w:tcBorders>
              <w:top w:val="nil"/>
              <w:left w:val="single" w:color="auto" w:sz="12"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行政许可</w:t>
            </w:r>
          </w:p>
        </w:tc>
        <w:tc>
          <w:tcPr>
            <w:tcW w:w="5791" w:type="dxa"/>
            <w:gridSpan w:val="3"/>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664</w:t>
            </w:r>
          </w:p>
        </w:tc>
      </w:tr>
      <w:tr>
        <w:tblPrEx>
          <w:tblCellMar>
            <w:top w:w="0" w:type="dxa"/>
            <w:left w:w="108" w:type="dxa"/>
            <w:bottom w:w="0" w:type="dxa"/>
            <w:right w:w="108" w:type="dxa"/>
          </w:tblCellMar>
        </w:tblPrEx>
        <w:trPr>
          <w:trHeight w:val="412" w:hRule="atLeast"/>
          <w:jc w:val="center"/>
        </w:trPr>
        <w:tc>
          <w:tcPr>
            <w:tcW w:w="8640" w:type="dxa"/>
            <w:gridSpan w:val="4"/>
            <w:tcBorders>
              <w:top w:val="single" w:color="auto" w:sz="4" w:space="0"/>
              <w:left w:val="single" w:color="auto" w:sz="12" w:space="0"/>
              <w:bottom w:val="single" w:color="auto" w:sz="4" w:space="0"/>
              <w:right w:val="single" w:color="000000" w:sz="12" w:space="0"/>
            </w:tcBorders>
            <w:noWrap/>
            <w:vAlign w:val="center"/>
          </w:tcPr>
          <w:p>
            <w:pPr>
              <w:widowControl/>
              <w:spacing w:line="560" w:lineRule="exact"/>
              <w:jc w:val="center"/>
              <w:rPr>
                <w:rFonts w:ascii="方正粗黑宋简体" w:hAnsi="方正粗黑宋简体" w:eastAsia="方正粗黑宋简体" w:cs="宋体"/>
                <w:kern w:val="0"/>
                <w:sz w:val="24"/>
                <w:szCs w:val="24"/>
              </w:rPr>
            </w:pPr>
            <w:r>
              <w:rPr>
                <w:rFonts w:hint="eastAsia" w:ascii="仿宋_GB2312" w:hAnsi="仿宋_GB2312" w:eastAsia="仿宋_GB2312" w:cs="仿宋_GB2312"/>
                <w:kern w:val="0"/>
                <w:sz w:val="20"/>
                <w:szCs w:val="20"/>
              </w:rPr>
              <w:t>第二十条第（六）项</w:t>
            </w:r>
          </w:p>
        </w:tc>
      </w:tr>
      <w:tr>
        <w:tblPrEx>
          <w:tblCellMar>
            <w:top w:w="0" w:type="dxa"/>
            <w:left w:w="108" w:type="dxa"/>
            <w:bottom w:w="0" w:type="dxa"/>
            <w:right w:w="108" w:type="dxa"/>
          </w:tblCellMar>
        </w:tblPrEx>
        <w:trPr>
          <w:trHeight w:val="412" w:hRule="atLeast"/>
          <w:jc w:val="center"/>
        </w:trPr>
        <w:tc>
          <w:tcPr>
            <w:tcW w:w="2849" w:type="dxa"/>
            <w:tcBorders>
              <w:top w:val="nil"/>
              <w:left w:val="single" w:color="auto" w:sz="12"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信息内容</w:t>
            </w:r>
          </w:p>
        </w:tc>
        <w:tc>
          <w:tcPr>
            <w:tcW w:w="5791" w:type="dxa"/>
            <w:gridSpan w:val="3"/>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本年处理决定数量</w:t>
            </w:r>
          </w:p>
        </w:tc>
      </w:tr>
      <w:tr>
        <w:tblPrEx>
          <w:tblCellMar>
            <w:top w:w="0" w:type="dxa"/>
            <w:left w:w="108" w:type="dxa"/>
            <w:bottom w:w="0" w:type="dxa"/>
            <w:right w:w="108" w:type="dxa"/>
          </w:tblCellMar>
        </w:tblPrEx>
        <w:trPr>
          <w:trHeight w:val="412" w:hRule="atLeast"/>
          <w:jc w:val="center"/>
        </w:trPr>
        <w:tc>
          <w:tcPr>
            <w:tcW w:w="2849" w:type="dxa"/>
            <w:tcBorders>
              <w:top w:val="nil"/>
              <w:left w:val="single" w:color="auto" w:sz="12"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行政处罚</w:t>
            </w:r>
          </w:p>
        </w:tc>
        <w:tc>
          <w:tcPr>
            <w:tcW w:w="5791" w:type="dxa"/>
            <w:gridSpan w:val="3"/>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164</w:t>
            </w:r>
          </w:p>
        </w:tc>
      </w:tr>
      <w:tr>
        <w:tblPrEx>
          <w:tblCellMar>
            <w:top w:w="0" w:type="dxa"/>
            <w:left w:w="108" w:type="dxa"/>
            <w:bottom w:w="0" w:type="dxa"/>
            <w:right w:w="108" w:type="dxa"/>
          </w:tblCellMar>
        </w:tblPrEx>
        <w:trPr>
          <w:trHeight w:val="412" w:hRule="atLeast"/>
          <w:jc w:val="center"/>
        </w:trPr>
        <w:tc>
          <w:tcPr>
            <w:tcW w:w="2849" w:type="dxa"/>
            <w:tcBorders>
              <w:top w:val="nil"/>
              <w:left w:val="single" w:color="auto" w:sz="12"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行政强制</w:t>
            </w:r>
          </w:p>
        </w:tc>
        <w:tc>
          <w:tcPr>
            <w:tcW w:w="5791" w:type="dxa"/>
            <w:gridSpan w:val="3"/>
            <w:tcBorders>
              <w:top w:val="nil"/>
              <w:left w:val="nil"/>
              <w:bottom w:val="single" w:color="auto" w:sz="4" w:space="0"/>
              <w:right w:val="single" w:color="auto" w:sz="12" w:space="0"/>
            </w:tcBorders>
            <w:noWrap/>
            <w:vAlign w:val="center"/>
          </w:tcPr>
          <w:p>
            <w:pPr>
              <w:widowControl/>
              <w:spacing w:line="560" w:lineRule="exact"/>
              <w:jc w:val="center"/>
              <w:rPr>
                <w:rFonts w:hint="eastAsia" w:ascii="黑体" w:hAnsi="黑体" w:eastAsia="黑体" w:cs="宋体"/>
                <w:kern w:val="0"/>
                <w:sz w:val="22"/>
                <w:lang w:val="en-US" w:eastAsia="zh-CN"/>
              </w:rPr>
            </w:pPr>
            <w:r>
              <w:rPr>
                <w:rFonts w:hint="eastAsia" w:ascii="黑体" w:hAnsi="黑体" w:eastAsia="黑体" w:cs="宋体"/>
                <w:kern w:val="0"/>
                <w:sz w:val="22"/>
                <w:lang w:val="en-US" w:eastAsia="zh-CN"/>
              </w:rPr>
              <w:t>1</w:t>
            </w:r>
          </w:p>
        </w:tc>
      </w:tr>
      <w:tr>
        <w:tblPrEx>
          <w:tblCellMar>
            <w:top w:w="0" w:type="dxa"/>
            <w:left w:w="108" w:type="dxa"/>
            <w:bottom w:w="0" w:type="dxa"/>
            <w:right w:w="108" w:type="dxa"/>
          </w:tblCellMar>
        </w:tblPrEx>
        <w:trPr>
          <w:trHeight w:val="412" w:hRule="atLeast"/>
          <w:jc w:val="center"/>
        </w:trPr>
        <w:tc>
          <w:tcPr>
            <w:tcW w:w="8640" w:type="dxa"/>
            <w:gridSpan w:val="4"/>
            <w:tcBorders>
              <w:top w:val="single" w:color="auto" w:sz="4" w:space="0"/>
              <w:left w:val="single" w:color="auto" w:sz="12" w:space="0"/>
              <w:bottom w:val="single" w:color="auto" w:sz="4" w:space="0"/>
              <w:right w:val="single" w:color="000000" w:sz="12" w:space="0"/>
            </w:tcBorders>
            <w:noWrap/>
            <w:vAlign w:val="center"/>
          </w:tcPr>
          <w:p>
            <w:pPr>
              <w:widowControl/>
              <w:spacing w:line="560" w:lineRule="exact"/>
              <w:jc w:val="center"/>
              <w:rPr>
                <w:rFonts w:ascii="方正粗黑宋简体" w:hAnsi="方正粗黑宋简体" w:eastAsia="方正粗黑宋简体" w:cs="宋体"/>
                <w:kern w:val="0"/>
                <w:sz w:val="24"/>
                <w:szCs w:val="24"/>
              </w:rPr>
            </w:pPr>
            <w:r>
              <w:rPr>
                <w:rFonts w:hint="eastAsia" w:ascii="仿宋_GB2312" w:hAnsi="仿宋_GB2312" w:eastAsia="仿宋_GB2312" w:cs="仿宋_GB2312"/>
                <w:kern w:val="0"/>
                <w:sz w:val="20"/>
                <w:szCs w:val="20"/>
              </w:rPr>
              <w:t>第二十条第（八）项</w:t>
            </w:r>
          </w:p>
        </w:tc>
      </w:tr>
      <w:tr>
        <w:tblPrEx>
          <w:tblCellMar>
            <w:top w:w="0" w:type="dxa"/>
            <w:left w:w="108" w:type="dxa"/>
            <w:bottom w:w="0" w:type="dxa"/>
            <w:right w:w="108" w:type="dxa"/>
          </w:tblCellMar>
        </w:tblPrEx>
        <w:trPr>
          <w:trHeight w:val="412" w:hRule="atLeast"/>
          <w:jc w:val="center"/>
        </w:trPr>
        <w:tc>
          <w:tcPr>
            <w:tcW w:w="2849" w:type="dxa"/>
            <w:tcBorders>
              <w:top w:val="nil"/>
              <w:left w:val="single" w:color="auto" w:sz="12"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信息内容</w:t>
            </w:r>
          </w:p>
        </w:tc>
        <w:tc>
          <w:tcPr>
            <w:tcW w:w="5791" w:type="dxa"/>
            <w:gridSpan w:val="3"/>
            <w:tcBorders>
              <w:top w:val="nil"/>
              <w:left w:val="nil"/>
              <w:bottom w:val="single" w:color="auto" w:sz="4" w:space="0"/>
              <w:right w:val="single" w:color="000000"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本年收费金额（单位：万元）</w:t>
            </w:r>
          </w:p>
        </w:tc>
      </w:tr>
      <w:tr>
        <w:tblPrEx>
          <w:tblCellMar>
            <w:top w:w="0" w:type="dxa"/>
            <w:left w:w="108" w:type="dxa"/>
            <w:bottom w:w="0" w:type="dxa"/>
            <w:right w:w="108" w:type="dxa"/>
          </w:tblCellMar>
        </w:tblPrEx>
        <w:trPr>
          <w:trHeight w:val="412" w:hRule="atLeast"/>
          <w:jc w:val="center"/>
        </w:trPr>
        <w:tc>
          <w:tcPr>
            <w:tcW w:w="2849" w:type="dxa"/>
            <w:tcBorders>
              <w:top w:val="nil"/>
              <w:left w:val="single" w:color="auto" w:sz="12"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行政事业性收费</w:t>
            </w:r>
          </w:p>
        </w:tc>
        <w:tc>
          <w:tcPr>
            <w:tcW w:w="5791" w:type="dxa"/>
            <w:gridSpan w:val="3"/>
            <w:tcBorders>
              <w:top w:val="nil"/>
              <w:left w:val="nil"/>
              <w:bottom w:val="single" w:color="auto" w:sz="4" w:space="0"/>
              <w:right w:val="single" w:color="000000" w:sz="12" w:space="0"/>
            </w:tcBorders>
            <w:noWrap/>
            <w:vAlign w:val="center"/>
          </w:tcPr>
          <w:p>
            <w:pPr>
              <w:widowControl/>
              <w:spacing w:line="560" w:lineRule="exact"/>
              <w:jc w:val="center"/>
              <w:rPr>
                <w:rFonts w:hint="eastAsia" w:ascii="黑体" w:hAnsi="黑体" w:eastAsia="黑体" w:cs="宋体"/>
                <w:kern w:val="0"/>
                <w:sz w:val="22"/>
                <w:lang w:val="en-US" w:eastAsia="zh-CN"/>
              </w:rPr>
            </w:pPr>
            <w:r>
              <w:rPr>
                <w:rFonts w:hint="eastAsia" w:ascii="黑体" w:hAnsi="黑体" w:eastAsia="黑体" w:cs="宋体"/>
                <w:kern w:val="0"/>
                <w:sz w:val="22"/>
                <w:lang w:val="en-US" w:eastAsia="zh-CN"/>
              </w:rPr>
              <w:t>0</w:t>
            </w: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4"/>
        <w:tblW w:w="0" w:type="auto"/>
        <w:jc w:val="center"/>
        <w:tblLayout w:type="fixed"/>
        <w:tblCellMar>
          <w:top w:w="0" w:type="dxa"/>
          <w:left w:w="108" w:type="dxa"/>
          <w:bottom w:w="0" w:type="dxa"/>
          <w:right w:w="108" w:type="dxa"/>
        </w:tblCellMar>
      </w:tblPr>
      <w:tblGrid>
        <w:gridCol w:w="656"/>
        <w:gridCol w:w="773"/>
        <w:gridCol w:w="2644"/>
        <w:gridCol w:w="709"/>
        <w:gridCol w:w="709"/>
        <w:gridCol w:w="708"/>
        <w:gridCol w:w="709"/>
        <w:gridCol w:w="709"/>
        <w:gridCol w:w="567"/>
        <w:gridCol w:w="584"/>
      </w:tblGrid>
      <w:tr>
        <w:tblPrEx>
          <w:tblCellMar>
            <w:top w:w="0" w:type="dxa"/>
            <w:left w:w="108" w:type="dxa"/>
            <w:bottom w:w="0" w:type="dxa"/>
            <w:right w:w="108" w:type="dxa"/>
          </w:tblCellMar>
        </w:tblPrEx>
        <w:trPr>
          <w:trHeight w:val="302" w:hRule="atLeast"/>
          <w:jc w:val="center"/>
        </w:trPr>
        <w:tc>
          <w:tcPr>
            <w:tcW w:w="4073" w:type="dxa"/>
            <w:gridSpan w:val="3"/>
            <w:vMerge w:val="restart"/>
            <w:tcBorders>
              <w:top w:val="single" w:color="auto" w:sz="12" w:space="0"/>
              <w:left w:val="single" w:color="auto" w:sz="12" w:space="0"/>
              <w:bottom w:val="single" w:color="000000" w:sz="4" w:space="0"/>
              <w:right w:val="single" w:color="000000"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（本列数据勾稽关系为：第一项加第二项之和，等于第三项加第四项之和）</w:t>
            </w:r>
          </w:p>
        </w:tc>
        <w:tc>
          <w:tcPr>
            <w:tcW w:w="4695" w:type="dxa"/>
            <w:gridSpan w:val="7"/>
            <w:tcBorders>
              <w:top w:val="single" w:color="auto" w:sz="12" w:space="0"/>
              <w:left w:val="nil"/>
              <w:bottom w:val="single" w:color="auto" w:sz="4" w:space="0"/>
              <w:right w:val="single" w:color="000000"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申请人情况</w:t>
            </w:r>
          </w:p>
        </w:tc>
      </w:tr>
      <w:tr>
        <w:tblPrEx>
          <w:tblCellMar>
            <w:top w:w="0" w:type="dxa"/>
            <w:left w:w="108" w:type="dxa"/>
            <w:bottom w:w="0" w:type="dxa"/>
            <w:right w:w="108" w:type="dxa"/>
          </w:tblCellMar>
        </w:tblPrEx>
        <w:trPr>
          <w:trHeight w:val="287" w:hRule="atLeast"/>
          <w:jc w:val="center"/>
        </w:trPr>
        <w:tc>
          <w:tcPr>
            <w:tcW w:w="4073" w:type="dxa"/>
            <w:gridSpan w:val="3"/>
            <w:vMerge w:val="continue"/>
            <w:tcBorders>
              <w:top w:val="single" w:color="auto" w:sz="12" w:space="0"/>
              <w:left w:val="single" w:color="auto" w:sz="12" w:space="0"/>
              <w:bottom w:val="single" w:color="000000" w:sz="4" w:space="0"/>
              <w:right w:val="single" w:color="000000" w:sz="4" w:space="0"/>
            </w:tcBorders>
            <w:noWrap/>
            <w:vAlign w:val="center"/>
          </w:tcPr>
          <w:p>
            <w:pPr>
              <w:widowControl/>
              <w:spacing w:line="560" w:lineRule="exact"/>
              <w:jc w:val="left"/>
              <w:rPr>
                <w:rFonts w:ascii="黑体" w:hAnsi="黑体" w:eastAsia="黑体" w:cs="宋体"/>
                <w:kern w:val="0"/>
                <w:sz w:val="22"/>
              </w:rPr>
            </w:pPr>
          </w:p>
        </w:tc>
        <w:tc>
          <w:tcPr>
            <w:tcW w:w="709"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自然人</w:t>
            </w:r>
          </w:p>
        </w:tc>
        <w:tc>
          <w:tcPr>
            <w:tcW w:w="3402" w:type="dxa"/>
            <w:gridSpan w:val="5"/>
            <w:tcBorders>
              <w:top w:val="single" w:color="auto" w:sz="4" w:space="0"/>
              <w:left w:val="nil"/>
              <w:bottom w:val="single" w:color="auto" w:sz="4" w:space="0"/>
              <w:right w:val="single" w:color="000000"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法人或其他组织</w:t>
            </w:r>
          </w:p>
        </w:tc>
        <w:tc>
          <w:tcPr>
            <w:tcW w:w="584" w:type="dxa"/>
            <w:vMerge w:val="restart"/>
            <w:tcBorders>
              <w:top w:val="nil"/>
              <w:left w:val="single" w:color="auto" w:sz="4" w:space="0"/>
              <w:bottom w:val="single" w:color="000000"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总计</w:t>
            </w:r>
          </w:p>
        </w:tc>
      </w:tr>
      <w:tr>
        <w:tblPrEx>
          <w:tblCellMar>
            <w:top w:w="0" w:type="dxa"/>
            <w:left w:w="108" w:type="dxa"/>
            <w:bottom w:w="0" w:type="dxa"/>
            <w:right w:w="108" w:type="dxa"/>
          </w:tblCellMar>
        </w:tblPrEx>
        <w:trPr>
          <w:trHeight w:val="544" w:hRule="atLeast"/>
          <w:jc w:val="center"/>
        </w:trPr>
        <w:tc>
          <w:tcPr>
            <w:tcW w:w="4073" w:type="dxa"/>
            <w:gridSpan w:val="3"/>
            <w:vMerge w:val="continue"/>
            <w:tcBorders>
              <w:top w:val="single" w:color="auto" w:sz="12" w:space="0"/>
              <w:left w:val="single" w:color="auto" w:sz="12" w:space="0"/>
              <w:bottom w:val="single" w:color="000000" w:sz="4" w:space="0"/>
              <w:right w:val="single" w:color="000000" w:sz="4" w:space="0"/>
            </w:tcBorders>
            <w:noWrap/>
            <w:vAlign w:val="center"/>
          </w:tcPr>
          <w:p>
            <w:pPr>
              <w:widowControl/>
              <w:spacing w:line="560" w:lineRule="exact"/>
              <w:jc w:val="left"/>
              <w:rPr>
                <w:rFonts w:ascii="黑体" w:hAnsi="黑体" w:eastAsia="黑体" w:cs="宋体"/>
                <w:kern w:val="0"/>
                <w:sz w:val="22"/>
              </w:rPr>
            </w:pPr>
          </w:p>
        </w:tc>
        <w:tc>
          <w:tcPr>
            <w:tcW w:w="709"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709"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商业企业</w:t>
            </w:r>
          </w:p>
        </w:tc>
        <w:tc>
          <w:tcPr>
            <w:tcW w:w="708"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科研机构</w:t>
            </w:r>
          </w:p>
        </w:tc>
        <w:tc>
          <w:tcPr>
            <w:tcW w:w="709"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社会公益组织</w:t>
            </w:r>
          </w:p>
        </w:tc>
        <w:tc>
          <w:tcPr>
            <w:tcW w:w="709"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法律服务机构</w:t>
            </w:r>
          </w:p>
        </w:tc>
        <w:tc>
          <w:tcPr>
            <w:tcW w:w="567"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其他</w:t>
            </w:r>
          </w:p>
        </w:tc>
        <w:tc>
          <w:tcPr>
            <w:tcW w:w="584" w:type="dxa"/>
            <w:vMerge w:val="continue"/>
            <w:tcBorders>
              <w:top w:val="nil"/>
              <w:left w:val="single" w:color="auto" w:sz="4" w:space="0"/>
              <w:bottom w:val="single" w:color="000000" w:sz="4" w:space="0"/>
              <w:right w:val="single" w:color="auto" w:sz="12" w:space="0"/>
            </w:tcBorders>
            <w:noWrap/>
            <w:vAlign w:val="center"/>
          </w:tcPr>
          <w:p>
            <w:pPr>
              <w:widowControl/>
              <w:spacing w:line="560" w:lineRule="exact"/>
              <w:jc w:val="left"/>
              <w:rPr>
                <w:rFonts w:ascii="黑体" w:hAnsi="黑体" w:eastAsia="黑体" w:cs="宋体"/>
                <w:kern w:val="0"/>
                <w:sz w:val="22"/>
              </w:rPr>
            </w:pPr>
          </w:p>
        </w:tc>
      </w:tr>
      <w:tr>
        <w:tblPrEx>
          <w:tblCellMar>
            <w:top w:w="0" w:type="dxa"/>
            <w:left w:w="108" w:type="dxa"/>
            <w:bottom w:w="0" w:type="dxa"/>
            <w:right w:w="108" w:type="dxa"/>
          </w:tblCellMar>
        </w:tblPrEx>
        <w:trPr>
          <w:trHeight w:val="287" w:hRule="atLeast"/>
          <w:jc w:val="center"/>
        </w:trPr>
        <w:tc>
          <w:tcPr>
            <w:tcW w:w="4073" w:type="dxa"/>
            <w:gridSpan w:val="3"/>
            <w:tcBorders>
              <w:top w:val="single" w:color="auto" w:sz="4" w:space="0"/>
              <w:left w:val="single" w:color="auto" w:sz="12" w:space="0"/>
              <w:bottom w:val="single" w:color="auto" w:sz="4" w:space="0"/>
              <w:right w:val="single" w:color="000000"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一、本年新收政府信息公开申请数量</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287" w:hRule="atLeast"/>
          <w:jc w:val="center"/>
        </w:trPr>
        <w:tc>
          <w:tcPr>
            <w:tcW w:w="4073" w:type="dxa"/>
            <w:gridSpan w:val="3"/>
            <w:tcBorders>
              <w:top w:val="single" w:color="auto" w:sz="4" w:space="0"/>
              <w:left w:val="single" w:color="auto" w:sz="12" w:space="0"/>
              <w:bottom w:val="single" w:color="auto" w:sz="4" w:space="0"/>
              <w:right w:val="single" w:color="000000"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二、上年结转政府信息公开申请数量</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770" w:hRule="atLeast"/>
          <w:jc w:val="center"/>
        </w:trPr>
        <w:tc>
          <w:tcPr>
            <w:tcW w:w="656" w:type="dxa"/>
            <w:vMerge w:val="restart"/>
            <w:tcBorders>
              <w:top w:val="nil"/>
              <w:left w:val="single" w:color="auto" w:sz="12" w:space="0"/>
              <w:bottom w:val="nil"/>
              <w:right w:val="single" w:color="auto" w:sz="4" w:space="0"/>
            </w:tcBorders>
            <w:noWrap/>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三、本年度办理结果</w:t>
            </w:r>
          </w:p>
        </w:tc>
        <w:tc>
          <w:tcPr>
            <w:tcW w:w="3417" w:type="dxa"/>
            <w:gridSpan w:val="2"/>
            <w:tcBorders>
              <w:top w:val="single" w:color="auto" w:sz="4" w:space="0"/>
              <w:left w:val="nil"/>
              <w:bottom w:val="single" w:color="auto" w:sz="4" w:space="0"/>
              <w:right w:val="single" w:color="000000"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一、予以公开</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712"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3417" w:type="dxa"/>
            <w:gridSpan w:val="2"/>
            <w:tcBorders>
              <w:top w:val="single" w:color="auto" w:sz="4" w:space="0"/>
              <w:left w:val="nil"/>
              <w:bottom w:val="single" w:color="auto" w:sz="4" w:space="0"/>
              <w:right w:val="single" w:color="000000"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二、部分公开（区分处理的，只计这一情形，不计其他情形）</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287"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（三）不予公开</w:t>
            </w:r>
          </w:p>
        </w:tc>
        <w:tc>
          <w:tcPr>
            <w:tcW w:w="2644"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1.属于国家秘密</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2644"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2.其他法律行政法规禁止公开</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2644"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3.危及“三安全一稳定”</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2644"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4.保护第三方合法权益</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2644"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5.属于三类内部事务信息</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2644"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6.属于四类过程信息</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2644"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7.属于行政执法案卷</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2644"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8.属于行政查询事项</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（四）无法提供</w:t>
            </w:r>
          </w:p>
        </w:tc>
        <w:tc>
          <w:tcPr>
            <w:tcW w:w="2644"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1.本机关不掌握相关政府信息</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2644"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2.没有现成信息需要另外制作</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2644"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3.补正后申请内容仍不明确</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restart"/>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（五）不予处理</w:t>
            </w:r>
          </w:p>
        </w:tc>
        <w:tc>
          <w:tcPr>
            <w:tcW w:w="2644"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1.信访举报投诉类申请</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287"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2644"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2.重复申请</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544"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2644"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3.要求提供公开出版物</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411"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2644"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4.</w:t>
            </w:r>
            <w:r>
              <w:rPr>
                <w:rFonts w:hint="eastAsia" w:ascii="黑体" w:hAnsi="黑体" w:eastAsia="黑体" w:cs="宋体"/>
                <w:w w:val="90"/>
                <w:kern w:val="0"/>
                <w:sz w:val="22"/>
              </w:rPr>
              <w:t>无正当理由大量反复申请</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558"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continue"/>
            <w:tcBorders>
              <w:top w:val="nil"/>
              <w:left w:val="single" w:color="auto" w:sz="4" w:space="0"/>
              <w:bottom w:val="single" w:color="000000"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2644" w:type="dxa"/>
            <w:tcBorders>
              <w:top w:val="nil"/>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5.要求行政机关确认或重新出具已获取信息</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563"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restart"/>
            <w:tcBorders>
              <w:top w:val="single" w:color="auto" w:sz="4" w:space="0"/>
              <w:left w:val="nil"/>
              <w:right w:val="single" w:color="000000"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（六）其他处理</w:t>
            </w:r>
          </w:p>
        </w:tc>
        <w:tc>
          <w:tcPr>
            <w:tcW w:w="2644"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1.申请人无正当理由逾期不补正、行政机关不再处理其政府信息公开申请</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563"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pPr>
          </w:p>
        </w:tc>
        <w:tc>
          <w:tcPr>
            <w:tcW w:w="773" w:type="dxa"/>
            <w:vMerge w:val="continue"/>
            <w:tcBorders>
              <w:left w:val="nil"/>
              <w:right w:val="single" w:color="000000" w:sz="4" w:space="0"/>
            </w:tcBorders>
            <w:noWrap/>
            <w:vAlign w:val="center"/>
          </w:tcPr>
          <w:p>
            <w:pPr>
              <w:widowControl/>
              <w:spacing w:line="560" w:lineRule="exact"/>
              <w:jc w:val="left"/>
            </w:pPr>
          </w:p>
        </w:tc>
        <w:tc>
          <w:tcPr>
            <w:tcW w:w="2644"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2.申请人逾期未按收费通知要求缴纳费用、行政机关不再处理其政府信息公开申请</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0</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0</w:t>
            </w:r>
          </w:p>
        </w:tc>
        <w:tc>
          <w:tcPr>
            <w:tcW w:w="70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0</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0</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0</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0</w:t>
            </w:r>
          </w:p>
        </w:tc>
        <w:tc>
          <w:tcPr>
            <w:tcW w:w="584"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563" w:hRule="atLeast"/>
          <w:jc w:val="center"/>
        </w:trPr>
        <w:tc>
          <w:tcPr>
            <w:tcW w:w="656" w:type="dxa"/>
            <w:vMerge w:val="continue"/>
            <w:tcBorders>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773" w:type="dxa"/>
            <w:vMerge w:val="continue"/>
            <w:tcBorders>
              <w:left w:val="nil"/>
              <w:bottom w:val="single" w:color="auto" w:sz="4" w:space="0"/>
              <w:right w:val="single" w:color="000000" w:sz="4" w:space="0"/>
            </w:tcBorders>
            <w:noWrap/>
            <w:vAlign w:val="center"/>
          </w:tcPr>
          <w:p>
            <w:pPr>
              <w:widowControl/>
              <w:spacing w:line="560" w:lineRule="exact"/>
              <w:jc w:val="left"/>
              <w:rPr>
                <w:rFonts w:ascii="黑体" w:hAnsi="黑体" w:eastAsia="黑体" w:cs="宋体"/>
                <w:kern w:val="0"/>
                <w:sz w:val="22"/>
              </w:rPr>
            </w:pPr>
          </w:p>
        </w:tc>
        <w:tc>
          <w:tcPr>
            <w:tcW w:w="2644" w:type="dxa"/>
            <w:tcBorders>
              <w:top w:val="single" w:color="auto" w:sz="4" w:space="0"/>
              <w:left w:val="nil"/>
              <w:bottom w:val="single" w:color="auto" w:sz="4" w:space="0"/>
              <w:right w:val="single" w:color="000000"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3.其他</w:t>
            </w:r>
          </w:p>
        </w:tc>
        <w:tc>
          <w:tcPr>
            <w:tcW w:w="709"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0</w:t>
            </w:r>
          </w:p>
        </w:tc>
        <w:tc>
          <w:tcPr>
            <w:tcW w:w="709"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0</w:t>
            </w:r>
          </w:p>
        </w:tc>
        <w:tc>
          <w:tcPr>
            <w:tcW w:w="708"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0</w:t>
            </w:r>
          </w:p>
        </w:tc>
        <w:tc>
          <w:tcPr>
            <w:tcW w:w="709"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0</w:t>
            </w:r>
          </w:p>
        </w:tc>
        <w:tc>
          <w:tcPr>
            <w:tcW w:w="709"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0</w:t>
            </w:r>
          </w:p>
        </w:tc>
        <w:tc>
          <w:tcPr>
            <w:tcW w:w="567"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0</w:t>
            </w:r>
          </w:p>
        </w:tc>
        <w:tc>
          <w:tcPr>
            <w:tcW w:w="584" w:type="dxa"/>
            <w:tcBorders>
              <w:top w:val="single" w:color="auto" w:sz="4" w:space="0"/>
              <w:left w:val="nil"/>
              <w:bottom w:val="single" w:color="auto" w:sz="4" w:space="0"/>
              <w:right w:val="single" w:color="auto" w:sz="12"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287" w:hRule="atLeast"/>
          <w:jc w:val="center"/>
        </w:trPr>
        <w:tc>
          <w:tcPr>
            <w:tcW w:w="656" w:type="dxa"/>
            <w:vMerge w:val="continue"/>
            <w:tcBorders>
              <w:top w:val="nil"/>
              <w:left w:val="single" w:color="auto" w:sz="12" w:space="0"/>
              <w:bottom w:val="nil"/>
              <w:right w:val="single" w:color="auto" w:sz="4" w:space="0"/>
            </w:tcBorders>
            <w:noWrap/>
            <w:vAlign w:val="center"/>
          </w:tcPr>
          <w:p>
            <w:pPr>
              <w:widowControl/>
              <w:spacing w:line="560" w:lineRule="exact"/>
              <w:jc w:val="left"/>
              <w:rPr>
                <w:rFonts w:ascii="黑体" w:hAnsi="黑体" w:eastAsia="黑体" w:cs="宋体"/>
                <w:kern w:val="0"/>
                <w:sz w:val="22"/>
              </w:rPr>
            </w:pPr>
          </w:p>
        </w:tc>
        <w:tc>
          <w:tcPr>
            <w:tcW w:w="3417" w:type="dxa"/>
            <w:gridSpan w:val="2"/>
            <w:tcBorders>
              <w:top w:val="single" w:color="auto" w:sz="4" w:space="0"/>
              <w:left w:val="nil"/>
              <w:bottom w:val="single" w:color="auto" w:sz="4" w:space="0"/>
              <w:right w:val="single" w:color="000000"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（七）总计</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4" w:space="0"/>
              <w:right w:val="single" w:color="auto" w:sz="4" w:space="0"/>
            </w:tcBorders>
            <w:noWrap/>
            <w:vAlign w:val="center"/>
          </w:tcPr>
          <w:p>
            <w:pPr>
              <w:widowControl/>
              <w:spacing w:line="560" w:lineRule="exact"/>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r>
        <w:tblPrEx>
          <w:tblCellMar>
            <w:top w:w="0" w:type="dxa"/>
            <w:left w:w="108" w:type="dxa"/>
            <w:bottom w:w="0" w:type="dxa"/>
            <w:right w:w="108" w:type="dxa"/>
          </w:tblCellMar>
        </w:tblPrEx>
        <w:trPr>
          <w:trHeight w:val="302" w:hRule="atLeast"/>
          <w:jc w:val="center"/>
        </w:trPr>
        <w:tc>
          <w:tcPr>
            <w:tcW w:w="4073" w:type="dxa"/>
            <w:gridSpan w:val="3"/>
            <w:tcBorders>
              <w:top w:val="single" w:color="auto" w:sz="4" w:space="0"/>
              <w:left w:val="single" w:color="auto" w:sz="12" w:space="0"/>
              <w:bottom w:val="single" w:color="auto" w:sz="12" w:space="0"/>
              <w:right w:val="single" w:color="000000" w:sz="4" w:space="0"/>
            </w:tcBorders>
            <w:noWrap/>
            <w:vAlign w:val="center"/>
          </w:tcPr>
          <w:p>
            <w:pPr>
              <w:widowControl/>
              <w:spacing w:line="560" w:lineRule="exact"/>
              <w:jc w:val="left"/>
              <w:rPr>
                <w:rFonts w:ascii="黑体" w:hAnsi="黑体" w:eastAsia="黑体" w:cs="宋体"/>
                <w:kern w:val="0"/>
                <w:sz w:val="22"/>
              </w:rPr>
            </w:pPr>
            <w:r>
              <w:rPr>
                <w:rFonts w:hint="eastAsia" w:ascii="黑体" w:hAnsi="黑体" w:eastAsia="黑体" w:cs="宋体"/>
                <w:kern w:val="0"/>
                <w:sz w:val="22"/>
              </w:rPr>
              <w:t>四、结转下年度继续办理</w:t>
            </w:r>
          </w:p>
        </w:tc>
        <w:tc>
          <w:tcPr>
            <w:tcW w:w="709"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8"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709"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67"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84" w:type="dxa"/>
            <w:tcBorders>
              <w:top w:val="nil"/>
              <w:left w:val="nil"/>
              <w:bottom w:val="single" w:color="auto" w:sz="12"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4"/>
        <w:tblW w:w="0" w:type="auto"/>
        <w:jc w:val="center"/>
        <w:tblLayout w:type="fixed"/>
        <w:tblCellMar>
          <w:top w:w="0" w:type="dxa"/>
          <w:left w:w="108" w:type="dxa"/>
          <w:bottom w:w="0" w:type="dxa"/>
          <w:right w:w="108" w:type="dxa"/>
        </w:tblCellMar>
      </w:tblPr>
      <w:tblGrid>
        <w:gridCol w:w="550"/>
        <w:gridCol w:w="550"/>
        <w:gridCol w:w="549"/>
        <w:gridCol w:w="549"/>
        <w:gridCol w:w="553"/>
        <w:gridCol w:w="548"/>
        <w:gridCol w:w="548"/>
        <w:gridCol w:w="548"/>
        <w:gridCol w:w="548"/>
        <w:gridCol w:w="552"/>
        <w:gridCol w:w="548"/>
        <w:gridCol w:w="548"/>
        <w:gridCol w:w="548"/>
        <w:gridCol w:w="548"/>
        <w:gridCol w:w="804"/>
      </w:tblGrid>
      <w:tr>
        <w:tblPrEx>
          <w:tblCellMar>
            <w:top w:w="0" w:type="dxa"/>
            <w:left w:w="108" w:type="dxa"/>
            <w:bottom w:w="0" w:type="dxa"/>
            <w:right w:w="108" w:type="dxa"/>
          </w:tblCellMar>
        </w:tblPrEx>
        <w:trPr>
          <w:trHeight w:val="331" w:hRule="atLeast"/>
          <w:jc w:val="center"/>
        </w:trPr>
        <w:tc>
          <w:tcPr>
            <w:tcW w:w="2751" w:type="dxa"/>
            <w:gridSpan w:val="5"/>
            <w:tcBorders>
              <w:top w:val="single" w:color="auto" w:sz="12" w:space="0"/>
              <w:left w:val="single" w:color="auto" w:sz="12"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行政复议</w:t>
            </w:r>
          </w:p>
        </w:tc>
        <w:tc>
          <w:tcPr>
            <w:tcW w:w="5740" w:type="dxa"/>
            <w:gridSpan w:val="10"/>
            <w:tcBorders>
              <w:top w:val="single" w:color="auto" w:sz="12" w:space="0"/>
              <w:left w:val="nil"/>
              <w:bottom w:val="single" w:color="auto" w:sz="4" w:space="0"/>
              <w:right w:val="single" w:color="000000"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行政诉讼</w:t>
            </w:r>
          </w:p>
        </w:tc>
      </w:tr>
      <w:tr>
        <w:tblPrEx>
          <w:tblCellMar>
            <w:top w:w="0" w:type="dxa"/>
            <w:left w:w="108" w:type="dxa"/>
            <w:bottom w:w="0" w:type="dxa"/>
            <w:right w:w="108" w:type="dxa"/>
          </w:tblCellMar>
        </w:tblPrEx>
        <w:trPr>
          <w:trHeight w:val="401" w:hRule="atLeast"/>
          <w:jc w:val="center"/>
        </w:trPr>
        <w:tc>
          <w:tcPr>
            <w:tcW w:w="550" w:type="dxa"/>
            <w:vMerge w:val="restart"/>
            <w:tcBorders>
              <w:top w:val="nil"/>
              <w:left w:val="single" w:color="auto" w:sz="12"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结果维持</w:t>
            </w:r>
          </w:p>
        </w:tc>
        <w:tc>
          <w:tcPr>
            <w:tcW w:w="550" w:type="dxa"/>
            <w:vMerge w:val="restart"/>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结果纠正</w:t>
            </w:r>
          </w:p>
        </w:tc>
        <w:tc>
          <w:tcPr>
            <w:tcW w:w="549" w:type="dxa"/>
            <w:vMerge w:val="restart"/>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其他结果</w:t>
            </w:r>
          </w:p>
        </w:tc>
        <w:tc>
          <w:tcPr>
            <w:tcW w:w="549" w:type="dxa"/>
            <w:vMerge w:val="restart"/>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尚未审结</w:t>
            </w:r>
          </w:p>
        </w:tc>
        <w:tc>
          <w:tcPr>
            <w:tcW w:w="553" w:type="dxa"/>
            <w:vMerge w:val="restart"/>
            <w:tcBorders>
              <w:top w:val="nil"/>
              <w:left w:val="single" w:color="auto" w:sz="4" w:space="0"/>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总计</w:t>
            </w:r>
          </w:p>
        </w:tc>
        <w:tc>
          <w:tcPr>
            <w:tcW w:w="2744" w:type="dxa"/>
            <w:gridSpan w:val="5"/>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未经复议直接起诉</w:t>
            </w:r>
          </w:p>
        </w:tc>
        <w:tc>
          <w:tcPr>
            <w:tcW w:w="2996" w:type="dxa"/>
            <w:gridSpan w:val="5"/>
            <w:tcBorders>
              <w:top w:val="single" w:color="auto" w:sz="4" w:space="0"/>
              <w:left w:val="nil"/>
              <w:bottom w:val="single" w:color="auto" w:sz="4" w:space="0"/>
              <w:right w:val="single" w:color="000000"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复议后起诉</w:t>
            </w:r>
          </w:p>
        </w:tc>
      </w:tr>
      <w:tr>
        <w:tblPrEx>
          <w:tblCellMar>
            <w:top w:w="0" w:type="dxa"/>
            <w:left w:w="108" w:type="dxa"/>
            <w:bottom w:w="0" w:type="dxa"/>
            <w:right w:w="108" w:type="dxa"/>
          </w:tblCellMar>
        </w:tblPrEx>
        <w:trPr>
          <w:trHeight w:val="1272" w:hRule="atLeast"/>
          <w:jc w:val="center"/>
        </w:trPr>
        <w:tc>
          <w:tcPr>
            <w:tcW w:w="550" w:type="dxa"/>
            <w:vMerge w:val="continue"/>
            <w:tcBorders>
              <w:top w:val="nil"/>
              <w:left w:val="single" w:color="auto" w:sz="12"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550" w:type="dxa"/>
            <w:vMerge w:val="continue"/>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549" w:type="dxa"/>
            <w:vMerge w:val="continue"/>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549" w:type="dxa"/>
            <w:vMerge w:val="continue"/>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553" w:type="dxa"/>
            <w:vMerge w:val="continue"/>
            <w:tcBorders>
              <w:top w:val="nil"/>
              <w:left w:val="single" w:color="auto" w:sz="4" w:space="0"/>
              <w:bottom w:val="single" w:color="auto" w:sz="4" w:space="0"/>
              <w:right w:val="single" w:color="auto" w:sz="4" w:space="0"/>
            </w:tcBorders>
            <w:noWrap/>
            <w:vAlign w:val="center"/>
          </w:tcPr>
          <w:p>
            <w:pPr>
              <w:widowControl/>
              <w:spacing w:line="560" w:lineRule="exact"/>
              <w:jc w:val="left"/>
              <w:rPr>
                <w:rFonts w:ascii="黑体" w:hAnsi="黑体" w:eastAsia="黑体" w:cs="宋体"/>
                <w:kern w:val="0"/>
                <w:sz w:val="22"/>
              </w:rPr>
            </w:pPr>
          </w:p>
        </w:tc>
        <w:tc>
          <w:tcPr>
            <w:tcW w:w="54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结果维持</w:t>
            </w:r>
          </w:p>
        </w:tc>
        <w:tc>
          <w:tcPr>
            <w:tcW w:w="54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结果纠正</w:t>
            </w:r>
          </w:p>
        </w:tc>
        <w:tc>
          <w:tcPr>
            <w:tcW w:w="54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其他结果</w:t>
            </w:r>
          </w:p>
        </w:tc>
        <w:tc>
          <w:tcPr>
            <w:tcW w:w="54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尚未审结</w:t>
            </w:r>
          </w:p>
        </w:tc>
        <w:tc>
          <w:tcPr>
            <w:tcW w:w="552"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b/>
                <w:bCs/>
                <w:kern w:val="0"/>
                <w:sz w:val="22"/>
              </w:rPr>
            </w:pPr>
            <w:r>
              <w:rPr>
                <w:rFonts w:hint="eastAsia" w:ascii="黑体" w:hAnsi="黑体" w:eastAsia="黑体" w:cs="宋体"/>
                <w:b/>
                <w:bCs/>
                <w:kern w:val="0"/>
                <w:sz w:val="22"/>
              </w:rPr>
              <w:t>总计</w:t>
            </w:r>
          </w:p>
        </w:tc>
        <w:tc>
          <w:tcPr>
            <w:tcW w:w="54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结果维持</w:t>
            </w:r>
          </w:p>
        </w:tc>
        <w:tc>
          <w:tcPr>
            <w:tcW w:w="54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结果纠正</w:t>
            </w:r>
          </w:p>
        </w:tc>
        <w:tc>
          <w:tcPr>
            <w:tcW w:w="54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其他结果</w:t>
            </w:r>
          </w:p>
        </w:tc>
        <w:tc>
          <w:tcPr>
            <w:tcW w:w="548" w:type="dxa"/>
            <w:tcBorders>
              <w:top w:val="nil"/>
              <w:left w:val="nil"/>
              <w:bottom w:val="single" w:color="auto" w:sz="4"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尚未审结</w:t>
            </w:r>
          </w:p>
        </w:tc>
        <w:tc>
          <w:tcPr>
            <w:tcW w:w="804" w:type="dxa"/>
            <w:tcBorders>
              <w:top w:val="nil"/>
              <w:left w:val="nil"/>
              <w:bottom w:val="single" w:color="auto" w:sz="4" w:space="0"/>
              <w:right w:val="single" w:color="auto" w:sz="12" w:space="0"/>
            </w:tcBorders>
            <w:noWrap/>
            <w:vAlign w:val="center"/>
          </w:tcPr>
          <w:p>
            <w:pPr>
              <w:widowControl/>
              <w:spacing w:line="560" w:lineRule="exact"/>
              <w:jc w:val="center"/>
              <w:rPr>
                <w:rFonts w:ascii="黑体" w:hAnsi="黑体" w:eastAsia="黑体" w:cs="宋体"/>
                <w:b/>
                <w:bCs/>
                <w:kern w:val="0"/>
                <w:sz w:val="22"/>
              </w:rPr>
            </w:pPr>
            <w:r>
              <w:rPr>
                <w:rFonts w:hint="eastAsia" w:ascii="黑体" w:hAnsi="黑体" w:eastAsia="黑体" w:cs="宋体"/>
                <w:b/>
                <w:bCs/>
                <w:kern w:val="0"/>
                <w:sz w:val="22"/>
              </w:rPr>
              <w:t>总计</w:t>
            </w:r>
          </w:p>
        </w:tc>
      </w:tr>
      <w:tr>
        <w:tblPrEx>
          <w:tblCellMar>
            <w:top w:w="0" w:type="dxa"/>
            <w:left w:w="108" w:type="dxa"/>
            <w:bottom w:w="0" w:type="dxa"/>
            <w:right w:w="108" w:type="dxa"/>
          </w:tblCellMar>
        </w:tblPrEx>
        <w:trPr>
          <w:trHeight w:val="429" w:hRule="atLeast"/>
          <w:jc w:val="center"/>
        </w:trPr>
        <w:tc>
          <w:tcPr>
            <w:tcW w:w="550" w:type="dxa"/>
            <w:tcBorders>
              <w:top w:val="nil"/>
              <w:left w:val="single" w:color="auto" w:sz="12" w:space="0"/>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　</w:t>
            </w:r>
          </w:p>
        </w:tc>
        <w:tc>
          <w:tcPr>
            <w:tcW w:w="550"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w:t>
            </w:r>
          </w:p>
        </w:tc>
        <w:tc>
          <w:tcPr>
            <w:tcW w:w="549"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　</w:t>
            </w:r>
          </w:p>
        </w:tc>
        <w:tc>
          <w:tcPr>
            <w:tcW w:w="549"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　</w:t>
            </w:r>
          </w:p>
        </w:tc>
        <w:tc>
          <w:tcPr>
            <w:tcW w:w="553"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　</w:t>
            </w:r>
          </w:p>
        </w:tc>
        <w:tc>
          <w:tcPr>
            <w:tcW w:w="548"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　</w:t>
            </w:r>
          </w:p>
        </w:tc>
        <w:tc>
          <w:tcPr>
            <w:tcW w:w="548"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　</w:t>
            </w:r>
          </w:p>
        </w:tc>
        <w:tc>
          <w:tcPr>
            <w:tcW w:w="548"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　</w:t>
            </w:r>
          </w:p>
        </w:tc>
        <w:tc>
          <w:tcPr>
            <w:tcW w:w="548"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　0</w:t>
            </w:r>
          </w:p>
        </w:tc>
        <w:tc>
          <w:tcPr>
            <w:tcW w:w="552"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　</w:t>
            </w:r>
          </w:p>
        </w:tc>
        <w:tc>
          <w:tcPr>
            <w:tcW w:w="548"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　</w:t>
            </w:r>
          </w:p>
        </w:tc>
        <w:tc>
          <w:tcPr>
            <w:tcW w:w="548"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　</w:t>
            </w:r>
          </w:p>
        </w:tc>
        <w:tc>
          <w:tcPr>
            <w:tcW w:w="548"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　0</w:t>
            </w:r>
          </w:p>
        </w:tc>
        <w:tc>
          <w:tcPr>
            <w:tcW w:w="548" w:type="dxa"/>
            <w:tcBorders>
              <w:top w:val="nil"/>
              <w:left w:val="nil"/>
              <w:bottom w:val="single" w:color="auto" w:sz="12" w:space="0"/>
              <w:right w:val="single" w:color="auto" w:sz="4"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　</w:t>
            </w:r>
          </w:p>
        </w:tc>
        <w:tc>
          <w:tcPr>
            <w:tcW w:w="804" w:type="dxa"/>
            <w:tcBorders>
              <w:top w:val="nil"/>
              <w:left w:val="nil"/>
              <w:bottom w:val="single" w:color="auto" w:sz="12" w:space="0"/>
              <w:right w:val="single" w:color="auto" w:sz="12" w:space="0"/>
            </w:tcBorders>
            <w:noWrap/>
            <w:vAlign w:val="center"/>
          </w:tcPr>
          <w:p>
            <w:pPr>
              <w:widowControl/>
              <w:spacing w:line="560" w:lineRule="exact"/>
              <w:jc w:val="center"/>
              <w:rPr>
                <w:rFonts w:ascii="黑体" w:hAnsi="黑体" w:eastAsia="黑体" w:cs="宋体"/>
                <w:kern w:val="0"/>
                <w:sz w:val="22"/>
              </w:rPr>
            </w:pPr>
            <w:r>
              <w:rPr>
                <w:rFonts w:hint="eastAsia" w:ascii="黑体" w:hAnsi="黑体" w:eastAsia="黑体" w:cs="宋体"/>
                <w:kern w:val="0"/>
                <w:sz w:val="22"/>
              </w:rPr>
              <w:t>0　</w:t>
            </w:r>
          </w:p>
        </w:tc>
      </w:tr>
    </w:tbl>
    <w:p>
      <w:pPr>
        <w:numPr>
          <w:ilvl w:val="0"/>
          <w:numId w:val="2"/>
        </w:numPr>
        <w:spacing w:line="560" w:lineRule="exact"/>
        <w:ind w:firstLine="640" w:firstLineChars="200"/>
        <w:rPr>
          <w:rFonts w:ascii="黑体" w:hAnsi="黑体" w:eastAsia="黑体"/>
          <w:sz w:val="32"/>
          <w:szCs w:val="32"/>
        </w:rPr>
      </w:pPr>
      <w:r>
        <w:rPr>
          <w:rFonts w:hint="eastAsia" w:ascii="黑体" w:hAnsi="黑体" w:eastAsia="黑体"/>
          <w:sz w:val="32"/>
          <w:szCs w:val="32"/>
        </w:rPr>
        <w:t>存在的主要问题及改进情况</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 w:eastAsia="仿宋_GB2312"/>
          <w:sz w:val="32"/>
          <w:szCs w:val="32"/>
        </w:rPr>
        <w:t>2021年开阳县税务局政府信息公开工作取得一定成效，但还存在差距和不足：一是</w:t>
      </w:r>
      <w:r>
        <w:rPr>
          <w:rFonts w:hint="eastAsia" w:ascii="仿宋_GB2312" w:hAnsi="仿宋" w:eastAsia="仿宋_GB2312"/>
          <w:sz w:val="32"/>
          <w:szCs w:val="32"/>
          <w:lang w:eastAsia="zh-CN"/>
        </w:rPr>
        <w:t>工作人员专业素质尚有不足</w:t>
      </w:r>
      <w:r>
        <w:rPr>
          <w:rFonts w:hint="eastAsia" w:ascii="仿宋_GB2312" w:hAnsi="仿宋" w:eastAsia="仿宋_GB2312"/>
          <w:sz w:val="32"/>
          <w:szCs w:val="32"/>
        </w:rPr>
        <w:t>，需进一步</w:t>
      </w:r>
      <w:r>
        <w:rPr>
          <w:rFonts w:hint="eastAsia" w:ascii="仿宋_GB2312" w:hAnsi="仿宋" w:eastAsia="仿宋_GB2312"/>
          <w:sz w:val="32"/>
          <w:szCs w:val="32"/>
          <w:lang w:eastAsia="zh-CN"/>
        </w:rPr>
        <w:t>提升工作质效</w:t>
      </w:r>
      <w:r>
        <w:rPr>
          <w:rFonts w:hint="eastAsia" w:ascii="仿宋_GB2312" w:hAnsi="仿宋" w:eastAsia="仿宋_GB2312"/>
          <w:sz w:val="32"/>
          <w:szCs w:val="32"/>
        </w:rPr>
        <w:t>；二是</w:t>
      </w:r>
      <w:r>
        <w:rPr>
          <w:rFonts w:hint="eastAsia" w:ascii="仿宋_GB2312" w:hAnsi="仿宋" w:eastAsia="仿宋_GB2312"/>
          <w:sz w:val="32"/>
          <w:szCs w:val="32"/>
          <w:lang w:eastAsia="zh-CN"/>
        </w:rPr>
        <w:t>相关</w:t>
      </w:r>
      <w:r>
        <w:rPr>
          <w:rFonts w:hint="eastAsia" w:ascii="仿宋_GB2312" w:hAnsi="仿宋_GB2312" w:eastAsia="仿宋_GB2312" w:cs="仿宋_GB2312"/>
          <w:color w:val="333333"/>
          <w:sz w:val="32"/>
          <w:szCs w:val="32"/>
        </w:rPr>
        <w:t>部门配合协作力度不够，需进一步强化部门协</w:t>
      </w:r>
      <w:r>
        <w:rPr>
          <w:rFonts w:hint="eastAsia" w:ascii="仿宋_GB2312" w:hAnsi="仿宋_GB2312" w:eastAsia="仿宋_GB2312" w:cs="仿宋_GB2312"/>
          <w:color w:val="333333"/>
          <w:sz w:val="32"/>
          <w:szCs w:val="32"/>
          <w:lang w:eastAsia="zh-CN"/>
        </w:rPr>
        <w:t>作机制</w:t>
      </w:r>
      <w:r>
        <w:rPr>
          <w:rFonts w:hint="eastAsia" w:ascii="仿宋_GB2312" w:hAnsi="仿宋_GB2312" w:eastAsia="仿宋_GB2312" w:cs="仿宋_GB2312"/>
          <w:color w:val="333333"/>
          <w:sz w:val="32"/>
          <w:szCs w:val="32"/>
        </w:rPr>
        <w:t>。</w:t>
      </w:r>
    </w:p>
    <w:p>
      <w:pPr>
        <w:spacing w:line="560" w:lineRule="exact"/>
        <w:ind w:firstLine="640" w:firstLineChars="200"/>
        <w:rPr>
          <w:rFonts w:ascii="仿宋_GB2312" w:eastAsia="仿宋_GB2312"/>
          <w:spacing w:val="4"/>
          <w:sz w:val="32"/>
          <w:szCs w:val="32"/>
        </w:rPr>
      </w:pPr>
      <w:r>
        <w:rPr>
          <w:rFonts w:hint="eastAsia" w:ascii="仿宋_GB2312" w:hAnsi="仿宋_GB2312" w:eastAsia="仿宋_GB2312" w:cs="仿宋_GB2312"/>
          <w:color w:val="333333"/>
          <w:sz w:val="32"/>
          <w:szCs w:val="32"/>
          <w:lang w:eastAsia="zh-CN"/>
        </w:rPr>
        <w:t>针对以上情况，</w:t>
      </w:r>
      <w:r>
        <w:rPr>
          <w:rFonts w:hint="eastAsia" w:ascii="仿宋_GB2312" w:hAnsi="仿宋" w:eastAsia="仿宋_GB2312"/>
          <w:sz w:val="32"/>
          <w:szCs w:val="32"/>
        </w:rPr>
        <w:t>开阳县税务局积极开展整改，</w:t>
      </w:r>
      <w:r>
        <w:rPr>
          <w:rFonts w:hint="eastAsia" w:ascii="仿宋_GB2312" w:hAnsi="仿宋" w:eastAsia="仿宋_GB2312"/>
          <w:sz w:val="32"/>
          <w:szCs w:val="32"/>
          <w:lang w:eastAsia="zh-CN"/>
        </w:rPr>
        <w:t>目前已对政府信息公开工作人员进行优化配置，加强队伍力量，并将</w:t>
      </w:r>
      <w:r>
        <w:rPr>
          <w:rFonts w:hint="eastAsia" w:ascii="仿宋_GB2312" w:eastAsia="仿宋_GB2312"/>
          <w:spacing w:val="4"/>
          <w:sz w:val="32"/>
          <w:szCs w:val="32"/>
        </w:rPr>
        <w:t>政府信息公开</w:t>
      </w:r>
      <w:r>
        <w:rPr>
          <w:rFonts w:hint="eastAsia" w:ascii="仿宋_GB2312" w:eastAsia="仿宋_GB2312"/>
          <w:spacing w:val="4"/>
          <w:sz w:val="32"/>
          <w:szCs w:val="32"/>
          <w:lang w:eastAsia="zh-CN"/>
        </w:rPr>
        <w:t>工作的</w:t>
      </w:r>
      <w:r>
        <w:rPr>
          <w:rFonts w:hint="eastAsia" w:ascii="仿宋_GB2312" w:eastAsia="仿宋_GB2312"/>
          <w:spacing w:val="4"/>
          <w:sz w:val="32"/>
          <w:szCs w:val="32"/>
        </w:rPr>
        <w:t>学习培训</w:t>
      </w:r>
      <w:r>
        <w:rPr>
          <w:rFonts w:hint="eastAsia" w:ascii="仿宋_GB2312" w:eastAsia="仿宋_GB2312"/>
          <w:spacing w:val="4"/>
          <w:sz w:val="32"/>
          <w:szCs w:val="32"/>
          <w:lang w:eastAsia="zh-CN"/>
        </w:rPr>
        <w:t>纳入</w:t>
      </w:r>
      <w:r>
        <w:rPr>
          <w:rFonts w:hint="eastAsia" w:ascii="仿宋_GB2312" w:eastAsia="仿宋_GB2312"/>
          <w:spacing w:val="4"/>
          <w:sz w:val="32"/>
          <w:szCs w:val="32"/>
          <w:lang w:val="en-US" w:eastAsia="zh-CN"/>
        </w:rPr>
        <w:t>2022年度培训计划。同时将持续强化部门协作机制，进一步完善责任清单，</w:t>
      </w:r>
      <w:r>
        <w:rPr>
          <w:rFonts w:hint="eastAsia" w:ascii="仿宋_GB2312" w:eastAsia="仿宋_GB2312"/>
          <w:spacing w:val="4"/>
          <w:sz w:val="32"/>
          <w:szCs w:val="32"/>
          <w:lang w:eastAsia="zh-CN"/>
        </w:rPr>
        <w:t>细化部门</w:t>
      </w:r>
      <w:r>
        <w:rPr>
          <w:rFonts w:hint="eastAsia" w:ascii="仿宋_GB2312" w:eastAsia="仿宋_GB2312"/>
          <w:spacing w:val="4"/>
          <w:sz w:val="32"/>
          <w:szCs w:val="32"/>
        </w:rPr>
        <w:t>分工配合，</w:t>
      </w:r>
      <w:r>
        <w:rPr>
          <w:rFonts w:hint="eastAsia" w:ascii="仿宋_GB2312" w:eastAsia="仿宋_GB2312"/>
          <w:spacing w:val="4"/>
          <w:sz w:val="32"/>
          <w:szCs w:val="32"/>
          <w:lang w:eastAsia="zh-CN"/>
        </w:rPr>
        <w:t>优化部门间沟通协调机制，贯彻落实责任到人原则</w:t>
      </w:r>
      <w:r>
        <w:rPr>
          <w:rFonts w:hint="eastAsia" w:ascii="仿宋_GB2312" w:eastAsia="仿宋_GB2312"/>
          <w:spacing w:val="4"/>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overflowPunct w:val="0"/>
        <w:autoSpaceDE w:val="0"/>
        <w:autoSpaceDN w:val="0"/>
        <w:adjustRightInd w:val="0"/>
        <w:snapToGrid w:val="0"/>
        <w:spacing w:line="520" w:lineRule="exact"/>
        <w:ind w:firstLine="640" w:firstLineChars="200"/>
        <w:rPr>
          <w:rFonts w:hint="default" w:ascii="仿宋_GB2312" w:eastAsia="仿宋_GB2312"/>
          <w:snapToGrid w:val="0"/>
          <w:kern w:val="0"/>
          <w:sz w:val="32"/>
          <w:szCs w:val="32"/>
          <w:lang w:val="en-US" w:eastAsia="zh-CN"/>
        </w:rPr>
      </w:pPr>
      <w:r>
        <w:rPr>
          <w:rFonts w:hint="eastAsia" w:ascii="仿宋_GB2312" w:eastAsia="仿宋_GB2312"/>
          <w:sz w:val="32"/>
          <w:szCs w:val="32"/>
        </w:rPr>
        <w:t>2021年，</w:t>
      </w:r>
      <w:r>
        <w:rPr>
          <w:rFonts w:hint="eastAsia" w:ascii="仿宋_GB2312" w:eastAsia="仿宋_GB2312"/>
          <w:sz w:val="32"/>
          <w:szCs w:val="32"/>
          <w:lang w:eastAsia="zh-CN"/>
        </w:rPr>
        <w:t>开阳县税务局贯彻</w:t>
      </w:r>
      <w:r>
        <w:rPr>
          <w:rFonts w:hint="eastAsia" w:ascii="仿宋_GB2312" w:eastAsia="仿宋_GB2312"/>
          <w:sz w:val="32"/>
          <w:szCs w:val="32"/>
        </w:rPr>
        <w:t>《政府信息公开条例》</w:t>
      </w:r>
      <w:r>
        <w:rPr>
          <w:rFonts w:hint="eastAsia" w:ascii="仿宋_GB2312" w:eastAsia="仿宋_GB2312"/>
          <w:sz w:val="32"/>
          <w:szCs w:val="32"/>
          <w:lang w:eastAsia="zh-CN"/>
        </w:rPr>
        <w:t>，</w:t>
      </w:r>
      <w:r>
        <w:rPr>
          <w:rFonts w:hint="eastAsia" w:ascii="仿宋_GB2312" w:eastAsia="仿宋_GB2312"/>
          <w:sz w:val="32"/>
          <w:szCs w:val="32"/>
        </w:rPr>
        <w:t>按照《2021年税务系统政务公开工作重点任务清单》和《国家税务总局贵州省税务局2021年政务公开工作重点任务分解表》</w:t>
      </w:r>
      <w:r>
        <w:rPr>
          <w:rFonts w:hint="eastAsia" w:ascii="仿宋_GB2312" w:eastAsia="仿宋_GB2312"/>
          <w:sz w:val="32"/>
          <w:szCs w:val="32"/>
          <w:lang w:eastAsia="zh-CN"/>
        </w:rPr>
        <w:t>落实政府信息公开工作，重点</w:t>
      </w:r>
      <w:r>
        <w:rPr>
          <w:rFonts w:hint="eastAsia" w:ascii="仿宋_GB2312" w:eastAsia="仿宋_GB2312"/>
          <w:sz w:val="32"/>
          <w:szCs w:val="32"/>
        </w:rPr>
        <w:t>围绕“十四五”开好局</w:t>
      </w:r>
      <w:r>
        <w:rPr>
          <w:rFonts w:hint="eastAsia" w:ascii="仿宋_GB2312" w:eastAsia="仿宋_GB2312"/>
          <w:sz w:val="32"/>
          <w:szCs w:val="32"/>
          <w:lang w:eastAsia="zh-CN"/>
        </w:rPr>
        <w:t>、</w:t>
      </w:r>
      <w:r>
        <w:rPr>
          <w:rFonts w:hint="eastAsia" w:ascii="仿宋_GB2312" w:eastAsia="仿宋_GB2312"/>
          <w:sz w:val="32"/>
          <w:szCs w:val="32"/>
        </w:rPr>
        <w:t>起好步</w:t>
      </w:r>
      <w:r>
        <w:rPr>
          <w:rFonts w:hint="eastAsia" w:ascii="仿宋_GB2312" w:eastAsia="仿宋_GB2312"/>
          <w:sz w:val="32"/>
          <w:szCs w:val="32"/>
          <w:lang w:eastAsia="zh-CN"/>
        </w:rPr>
        <w:t>，围绕</w:t>
      </w:r>
      <w:r>
        <w:rPr>
          <w:rFonts w:hint="eastAsia" w:ascii="仿宋_GB2312" w:eastAsia="仿宋_GB2312"/>
          <w:sz w:val="32"/>
          <w:szCs w:val="32"/>
        </w:rPr>
        <w:t>落实中办、国办印发的《关于进一步深化税收征管改革的意见》</w:t>
      </w:r>
      <w:r>
        <w:rPr>
          <w:rFonts w:hint="eastAsia" w:ascii="仿宋_GB2312" w:eastAsia="仿宋_GB2312"/>
          <w:sz w:val="32"/>
          <w:szCs w:val="32"/>
          <w:lang w:eastAsia="zh-CN"/>
        </w:rPr>
        <w:t>，</w:t>
      </w:r>
      <w:r>
        <w:rPr>
          <w:rFonts w:hint="eastAsia" w:ascii="仿宋_GB2312" w:hAnsi="仿宋_GB2312" w:eastAsia="仿宋_GB2312" w:cs="仿宋_GB2312"/>
          <w:sz w:val="32"/>
          <w:szCs w:val="32"/>
        </w:rPr>
        <w:t>围绕税费政策落实落地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围绕夯实基础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围绕《政府信息公开条例》</w:t>
      </w:r>
      <w:r>
        <w:rPr>
          <w:rFonts w:hint="eastAsia" w:ascii="仿宋_GB2312" w:hAnsi="仿宋_GB2312" w:eastAsia="仿宋_GB2312" w:cs="仿宋_GB2312"/>
          <w:sz w:val="32"/>
          <w:szCs w:val="32"/>
          <w:lang w:eastAsia="zh-CN"/>
        </w:rPr>
        <w:t>，</w:t>
      </w:r>
      <w:r>
        <w:rPr>
          <w:rFonts w:hint="eastAsia" w:ascii="仿宋_GB2312" w:eastAsia="仿宋_GB2312"/>
          <w:sz w:val="32"/>
          <w:szCs w:val="32"/>
        </w:rPr>
        <w:t>强化管理保障，进一步深化政务公开</w:t>
      </w:r>
      <w:r>
        <w:rPr>
          <w:rFonts w:hint="eastAsia" w:ascii="仿宋_GB2312" w:eastAsia="仿宋_GB2312"/>
          <w:sz w:val="32"/>
          <w:szCs w:val="32"/>
          <w:lang w:eastAsia="zh-CN"/>
        </w:rPr>
        <w:t>。</w:t>
      </w:r>
      <w:r>
        <w:rPr>
          <w:rFonts w:hint="eastAsia" w:ascii="仿宋_GB2312" w:eastAsia="仿宋_GB2312"/>
          <w:snapToGrid w:val="0"/>
          <w:color w:val="000000" w:themeColor="text1"/>
          <w:kern w:val="0"/>
          <w:sz w:val="32"/>
          <w:szCs w:val="32"/>
        </w:rPr>
        <w:t>202</w:t>
      </w:r>
      <w:r>
        <w:rPr>
          <w:rFonts w:hint="eastAsia" w:ascii="仿宋_GB2312" w:eastAsia="仿宋_GB2312"/>
          <w:snapToGrid w:val="0"/>
          <w:color w:val="000000" w:themeColor="text1"/>
          <w:kern w:val="0"/>
          <w:sz w:val="32"/>
          <w:szCs w:val="32"/>
          <w:lang w:val="en-US" w:eastAsia="zh-CN"/>
        </w:rPr>
        <w:t>1</w:t>
      </w:r>
      <w:r>
        <w:rPr>
          <w:rFonts w:hint="eastAsia" w:ascii="仿宋_GB2312" w:eastAsia="仿宋_GB2312"/>
          <w:snapToGrid w:val="0"/>
          <w:color w:val="000000" w:themeColor="text1"/>
          <w:kern w:val="0"/>
          <w:sz w:val="32"/>
          <w:szCs w:val="32"/>
        </w:rPr>
        <w:t>年度重点工作任务均</w:t>
      </w:r>
      <w:r>
        <w:rPr>
          <w:rFonts w:hint="eastAsia" w:ascii="仿宋_GB2312" w:eastAsia="仿宋_GB2312"/>
          <w:snapToGrid w:val="0"/>
          <w:color w:val="000000" w:themeColor="text1"/>
          <w:kern w:val="0"/>
          <w:sz w:val="32"/>
          <w:szCs w:val="32"/>
          <w:lang w:eastAsia="zh-CN"/>
        </w:rPr>
        <w:t>已</w:t>
      </w:r>
      <w:r>
        <w:rPr>
          <w:rFonts w:hint="eastAsia" w:ascii="仿宋_GB2312" w:eastAsia="仿宋_GB2312"/>
          <w:snapToGrid w:val="0"/>
          <w:color w:val="000000" w:themeColor="text1"/>
          <w:kern w:val="0"/>
          <w:sz w:val="32"/>
          <w:szCs w:val="32"/>
        </w:rPr>
        <w:t>按要求推进和抓好落实</w:t>
      </w:r>
      <w:r>
        <w:rPr>
          <w:rFonts w:hint="eastAsia" w:ascii="仿宋_GB2312" w:eastAsia="仿宋_GB2312"/>
          <w:snapToGrid w:val="0"/>
          <w:color w:val="000000" w:themeColor="text1"/>
          <w:kern w:val="0"/>
          <w:sz w:val="32"/>
          <w:szCs w:val="32"/>
          <w:lang w:val="en-US" w:eastAsia="zh-CN"/>
        </w:rPr>
        <w:t>,未收取任何信息处理费。</w:t>
      </w:r>
    </w:p>
    <w:p>
      <w:pPr>
        <w:wordWrap w:val="0"/>
        <w:spacing w:line="560" w:lineRule="exact"/>
        <w:jc w:val="right"/>
        <w:rPr>
          <w:rFonts w:hint="eastAsia" w:ascii="仿宋_GB2312" w:hAnsi="仿宋" w:eastAsia="仿宋_GB2312"/>
          <w:sz w:val="32"/>
          <w:szCs w:val="32"/>
        </w:rPr>
      </w:pPr>
    </w:p>
    <w:p>
      <w:pPr>
        <w:wordWrap w:val="0"/>
        <w:spacing w:line="560" w:lineRule="exact"/>
        <w:jc w:val="right"/>
        <w:rPr>
          <w:rFonts w:ascii="仿宋_GB2312" w:hAnsi="仿宋" w:eastAsia="仿宋_GB2312"/>
          <w:sz w:val="32"/>
          <w:szCs w:val="32"/>
        </w:rPr>
      </w:pPr>
      <w:r>
        <w:rPr>
          <w:rFonts w:hint="eastAsia" w:ascii="仿宋_GB2312" w:hAnsi="仿宋" w:eastAsia="仿宋_GB2312"/>
          <w:sz w:val="32"/>
          <w:szCs w:val="32"/>
        </w:rPr>
        <w:t>国家税务总局开阳县税务局</w:t>
      </w:r>
    </w:p>
    <w:p>
      <w:pPr>
        <w:spacing w:line="560" w:lineRule="exact"/>
        <w:jc w:val="center"/>
      </w:pPr>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年1月</w:t>
      </w:r>
      <w:r>
        <w:rPr>
          <w:rFonts w:hint="eastAsia" w:ascii="仿宋_GB2312" w:hAnsi="仿宋" w:eastAsia="仿宋_GB2312"/>
          <w:sz w:val="32"/>
          <w:szCs w:val="32"/>
          <w:lang w:val="en-US" w:eastAsia="zh-CN"/>
        </w:rPr>
        <w:t>20</w:t>
      </w:r>
      <w:r>
        <w:rPr>
          <w:rFonts w:hint="eastAsia" w:ascii="仿宋_GB2312" w:hAnsi="仿宋" w:eastAsia="仿宋_GB2312"/>
          <w:sz w:val="32"/>
          <w:szCs w:val="32"/>
        </w:rPr>
        <w:t>日</w:t>
      </w:r>
    </w:p>
    <w:sectPr>
      <w:footerReference r:id="rId3" w:type="default"/>
      <w:footerReference r:id="rId4" w:type="even"/>
      <w:pgSz w:w="11906" w:h="16838"/>
      <w:pgMar w:top="2268" w:right="1531" w:bottom="1134"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粗黑宋简体">
    <w:altName w:val="宋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2B2F8"/>
    <w:multiLevelType w:val="singleLevel"/>
    <w:tmpl w:val="BCA2B2F8"/>
    <w:lvl w:ilvl="0" w:tentative="0">
      <w:start w:val="1"/>
      <w:numFmt w:val="chineseCounting"/>
      <w:suff w:val="nothing"/>
      <w:lvlText w:val="（%1）"/>
      <w:lvlJc w:val="left"/>
      <w:rPr>
        <w:rFonts w:hint="eastAsia"/>
      </w:rPr>
    </w:lvl>
  </w:abstractNum>
  <w:abstractNum w:abstractNumId="1">
    <w:nsid w:val="5E099381"/>
    <w:multiLevelType w:val="singleLevel"/>
    <w:tmpl w:val="5E099381"/>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1A27C6E"/>
    <w:rsid w:val="006D6925"/>
    <w:rsid w:val="007301B9"/>
    <w:rsid w:val="0094335F"/>
    <w:rsid w:val="00B07142"/>
    <w:rsid w:val="00BE339A"/>
    <w:rsid w:val="00DA29E6"/>
    <w:rsid w:val="00ED3197"/>
    <w:rsid w:val="00F56BE6"/>
    <w:rsid w:val="03A97140"/>
    <w:rsid w:val="05251E3D"/>
    <w:rsid w:val="06293A9D"/>
    <w:rsid w:val="08003AEC"/>
    <w:rsid w:val="08532210"/>
    <w:rsid w:val="0A131C38"/>
    <w:rsid w:val="0A144AC4"/>
    <w:rsid w:val="0A4726AC"/>
    <w:rsid w:val="0B337418"/>
    <w:rsid w:val="0C1216FE"/>
    <w:rsid w:val="0E672DFF"/>
    <w:rsid w:val="10D16812"/>
    <w:rsid w:val="11A27C6E"/>
    <w:rsid w:val="12DC21BA"/>
    <w:rsid w:val="13272DD8"/>
    <w:rsid w:val="13C52FD2"/>
    <w:rsid w:val="14284235"/>
    <w:rsid w:val="1521450A"/>
    <w:rsid w:val="181A7902"/>
    <w:rsid w:val="1C456430"/>
    <w:rsid w:val="1D7575BC"/>
    <w:rsid w:val="1F0A10AE"/>
    <w:rsid w:val="20D85243"/>
    <w:rsid w:val="25285E09"/>
    <w:rsid w:val="255F1D40"/>
    <w:rsid w:val="26A32757"/>
    <w:rsid w:val="27153590"/>
    <w:rsid w:val="28943D23"/>
    <w:rsid w:val="296E62C6"/>
    <w:rsid w:val="29E52AD9"/>
    <w:rsid w:val="29EF7EE9"/>
    <w:rsid w:val="2AE1770E"/>
    <w:rsid w:val="2BF431B0"/>
    <w:rsid w:val="2D044BA8"/>
    <w:rsid w:val="2F9C28C0"/>
    <w:rsid w:val="2FAD76DE"/>
    <w:rsid w:val="332F7FF9"/>
    <w:rsid w:val="349C2F76"/>
    <w:rsid w:val="3A034DE0"/>
    <w:rsid w:val="3ABD253C"/>
    <w:rsid w:val="3DA6723E"/>
    <w:rsid w:val="3DDB52DC"/>
    <w:rsid w:val="3DEE6132"/>
    <w:rsid w:val="403052D1"/>
    <w:rsid w:val="41160330"/>
    <w:rsid w:val="4425739A"/>
    <w:rsid w:val="46D261B7"/>
    <w:rsid w:val="47BD325A"/>
    <w:rsid w:val="48380E64"/>
    <w:rsid w:val="48675BE0"/>
    <w:rsid w:val="49563244"/>
    <w:rsid w:val="4AC10A82"/>
    <w:rsid w:val="4B08509B"/>
    <w:rsid w:val="4FFE2FA2"/>
    <w:rsid w:val="5AB16B64"/>
    <w:rsid w:val="5C3B7221"/>
    <w:rsid w:val="5F0F7AD2"/>
    <w:rsid w:val="61291A59"/>
    <w:rsid w:val="642801D8"/>
    <w:rsid w:val="662E322F"/>
    <w:rsid w:val="6C021326"/>
    <w:rsid w:val="6EC208B4"/>
    <w:rsid w:val="706848B7"/>
    <w:rsid w:val="71B32C6D"/>
    <w:rsid w:val="73A57DE3"/>
    <w:rsid w:val="746418A2"/>
    <w:rsid w:val="75821E9D"/>
    <w:rsid w:val="793347FF"/>
    <w:rsid w:val="7AB92E47"/>
    <w:rsid w:val="7ABB3410"/>
    <w:rsid w:val="7B4B306B"/>
    <w:rsid w:val="7D4D3337"/>
    <w:rsid w:val="7F77500E"/>
    <w:rsid w:val="7F8808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440</Words>
  <Characters>2513</Characters>
  <Lines>20</Lines>
  <Paragraphs>5</Paragraphs>
  <TotalTime>1</TotalTime>
  <ScaleCrop>false</ScaleCrop>
  <LinksUpToDate>false</LinksUpToDate>
  <CharactersWithSpaces>2948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2022-01-18T10:41:00Z</dcterms:created>
  <dc:creator>黎红香</dc:creator>
  <cp:lastModifiedBy>gysxzx04</cp:lastModifiedBy>
  <cp:lastPrinted>2022-01-21T04:17:00Z</cp:lastPrinted>
  <dcterms:modified xsi:type="dcterms:W3CDTF">2025-09-26T04:01:17Z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