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left="272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国家税务总局贵阳市花溪区税务局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left="272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left="272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topLinePunct/>
        <w:spacing w:line="560" w:lineRule="exact"/>
        <w:ind w:firstLine="640" w:firstLineChars="200"/>
        <w:jc w:val="left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</w:t>
      </w:r>
      <w:r>
        <w:rPr>
          <w:rFonts w:hint="eastAsia" w:ascii="仿宋_GB2312" w:eastAsia="仿宋_GB2312"/>
          <w:sz w:val="32"/>
          <w:szCs w:val="32"/>
          <w:lang w:eastAsia="zh-CN"/>
        </w:rPr>
        <w:t>按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《中华人民共和国政府信息公开条例》要求编制。全文包括总体情况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主动公开政府信息情况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收到和处理政府信息公开申请情况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政府信息公开行政复议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行政诉讼情况，存在的主要问题及改进情况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其他需要报告的事项六个部分。报告中所列数据为国家税务总局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贵阳市花溪区</w:t>
      </w:r>
      <w:r>
        <w:rPr>
          <w:rFonts w:hint="eastAsia" w:ascii="仿宋_GB2312" w:eastAsia="仿宋_GB2312"/>
          <w:sz w:val="32"/>
          <w:szCs w:val="32"/>
        </w:rPr>
        <w:t>税务局2021年整年数据，统计期限自2021年1月1日起至2021年12月31日止。报告电子版可在国家税务总局贵州省税务局网站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http://www.guizhou.chiInatax.gov.cn/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查阅。如有疑问请致电国家税务总局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贵阳市花溪区税务局</w:t>
      </w:r>
      <w:r>
        <w:rPr>
          <w:rFonts w:hint="eastAsia" w:ascii="仿宋_GB2312" w:eastAsia="仿宋_GB2312"/>
          <w:sz w:val="32"/>
          <w:szCs w:val="32"/>
        </w:rPr>
        <w:t>税务局联系(地址：贵州省贵阳市</w:t>
      </w:r>
      <w:r>
        <w:rPr>
          <w:rFonts w:hint="eastAsia" w:ascii="仿宋_GB2312" w:eastAsia="仿宋_GB2312"/>
          <w:sz w:val="32"/>
          <w:szCs w:val="32"/>
          <w:lang w:eastAsia="zh-CN"/>
        </w:rPr>
        <w:t>花溪区明珠大道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196号6号楼</w:t>
      </w:r>
      <w:r>
        <w:rPr>
          <w:rFonts w:hint="eastAsia" w:ascii="仿宋_GB2312" w:eastAsia="仿宋_GB2312"/>
          <w:sz w:val="32"/>
          <w:szCs w:val="32"/>
        </w:rPr>
        <w:t>，邮编：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550025</w:t>
      </w:r>
      <w:r>
        <w:rPr>
          <w:rFonts w:hint="eastAsia" w:ascii="仿宋_GB2312" w:eastAsia="仿宋_GB2312"/>
          <w:sz w:val="32"/>
          <w:szCs w:val="32"/>
        </w:rPr>
        <w:t>，联系电话：0851-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88231660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，竭诚欢迎您的关注支持和批评监督！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_GB2312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" w:eastAsia="仿宋_GB2312"/>
          <w:sz w:val="32"/>
          <w:szCs w:val="32"/>
        </w:rPr>
        <w:t>国家税务总局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贵阳市花溪区</w:t>
      </w:r>
      <w:r>
        <w:rPr>
          <w:rFonts w:hint="eastAsia" w:ascii="仿宋_GB2312" w:hAnsi="仿宋" w:eastAsia="仿宋_GB2312"/>
          <w:sz w:val="32"/>
          <w:szCs w:val="32"/>
        </w:rPr>
        <w:t>税务局以习近平新时代中国特色社会主义思想为指导，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全面落实上级关于全面推进政务公开工作的决策部署和《中华人民共和国政府信息公开条例》加强组织领导，加大公开力度、加快平台建设、推进政务公开工作稳步开展。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leftChars="200" w:right="0" w:righ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2021年，花溪区税务局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及时公开调整后的区局职责、内设机构职责及领导班子成员等信息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积极转发上级各项税收政策，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转载国家税务总局税收政策文件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27条，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年内公开涉及涉税专业服务机构名称及其信用情况、行政处罚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事项、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行政许可事项、非正常户公告、个体工商户定额公告、欠税公告及委托代征公告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、区局工作动态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项内容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7200余条，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通过全国信用信息网站公开行政处罚、行政许可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4600余条。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年内共处理1条人大代表建议和政协提案，及时办理结果进行公开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依申请公开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花溪区税务局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严格落实《税务机关政府信息公开申请办理规范》要求，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按规定做好依申请公开相关工作，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年度花溪区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税务局未收到依申请公开申请。</w:t>
      </w:r>
    </w:p>
    <w:p>
      <w:pPr>
        <w:numPr>
          <w:ilvl w:val="0"/>
          <w:numId w:val="1"/>
        </w:numPr>
        <w:spacing w:line="560" w:lineRule="exact"/>
        <w:ind w:left="200" w:leftChars="0" w:firstLine="640" w:firstLine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花溪区税务局依照省局、市局以及花溪区政府相关规定，按时做好政务信息公开工作，严格把控政务信息公开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程序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填写主动公开信息送审单及网站审核单，经办理部门、办公室和分管领导审核后，方可进行信息公开。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0" w:leftChars="0" w:right="0" w:rightChars="0" w:firstLine="64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积极搭建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花溪区人民政府网站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、贵州省税务局贵阳市税务局板块和全国信息信用共享平台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花溪区人民政府网设置国家税务总局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花溪区税务局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专项模块，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积极发布和更新政府信息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丰富平台内容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。同时充分利用税企互动平台、税视服务通等途径开展税收政策的宣传辅导。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left="200" w:leftChars="0" w:right="0" w:firstLine="640" w:firstLine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花溪区税务局通过在贵州省税务局官网、花溪区人民政府网及办税服务大厅公布纳税咨询热线、纳税投诉热线、政府信息公开热线和税务干部违纪举报热线，方便纳税人开展涉税问题反映，建立有效监督机制，同时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12366、12345等途径收集纳税人意见建议，为纳税人答疑解惑。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4"/>
        <w:gridCol w:w="2183"/>
        <w:gridCol w:w="2183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2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2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3613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Spec="center" w:tblpY="303"/>
        <w:tblOverlap w:val="never"/>
        <w:tblW w:w="494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68"/>
        <w:gridCol w:w="2983"/>
        <w:gridCol w:w="633"/>
        <w:gridCol w:w="633"/>
        <w:gridCol w:w="633"/>
        <w:gridCol w:w="633"/>
        <w:gridCol w:w="633"/>
        <w:gridCol w:w="648"/>
        <w:gridCol w:w="6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7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6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57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57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607"/>
        <w:gridCol w:w="607"/>
        <w:gridCol w:w="607"/>
        <w:gridCol w:w="622"/>
        <w:gridCol w:w="607"/>
        <w:gridCol w:w="607"/>
        <w:gridCol w:w="611"/>
        <w:gridCol w:w="611"/>
        <w:gridCol w:w="618"/>
        <w:gridCol w:w="611"/>
        <w:gridCol w:w="611"/>
        <w:gridCol w:w="611"/>
        <w:gridCol w:w="611"/>
        <w:gridCol w:w="6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花溪区税务局及时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行政处罚、行政许可、个体工商户定额以及非正常户公告等主动公开信息，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取得了一定的成效，但也还存在一定的不足，区县局没有自己的对外网络平台、无微博公众号和微信号，仅依托于区政府网站、办税服务大厅公示栏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上级部门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门户网站和税企互动平台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进行公开，创新力度较差。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紧扣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税惠方向，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推进税费政策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宣传和辅导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花溪区税务局积极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利用全国第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个税收宣传月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契机，紧扣“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税收惠民办实事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深化改革开新局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”这一主题，采取线上+线下模式，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税企平台税收政策及操作直播，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全面深入解读各项税费优惠政策，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局领导带队走访辖区企业，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加强税费政策落实宣传，深入宣传阐释助力“六稳”“六保”工作的税费政策落实举措及效果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在多彩贵州网、贵阳网等外部网站刊登新闻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0余篇，积极向外界展示税务部门税收宣传工作的举措和成效。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（二）落实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优化税收营商环境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推进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“非接触办税”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深化“非接触式”办税缴费服务。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全年落实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“不接触、网上办、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掌上办、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预约办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大力推行“非接触式”办税缴费方式，通过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税企互动平台，电子税务局、电子名片、税视服务通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等方式，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享受税收政策、网上申报纳税、远程获得辅导、反馈意见建议。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推进透明化办税缴费。推行新办企业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“一网通办”“一窗通办”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涉税事项集成办理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（三）围绕强化管理保障，深化政务公开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提升业务能力。组织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组政务公开工作人员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上级举办的政务公开网络培训，提升政务公开工作人员业务能力。狠抓重点任务落实。梳理2021年度政务公开重点任务，形成工作台账，实时跟进推动，确保落实到位。对上一年度政务公开重点任务落实情况开展回头看，积极接受上级组织开展的政务公开第三方评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国家税务总局贵阳市花溪区税务局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2022年1月20日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5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9E799"/>
    <w:multiLevelType w:val="singleLevel"/>
    <w:tmpl w:val="12D9E799"/>
    <w:lvl w:ilvl="0" w:tentative="0">
      <w:start w:val="3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5B2783C"/>
    <w:rsid w:val="16FE433A"/>
    <w:rsid w:val="1CAE3FA7"/>
    <w:rsid w:val="1FD2392B"/>
    <w:rsid w:val="4A1947CF"/>
    <w:rsid w:val="5079278D"/>
    <w:rsid w:val="5EFF5411"/>
    <w:rsid w:val="772C75AC"/>
    <w:rsid w:val="7AFE57A4"/>
    <w:rsid w:val="7F760973"/>
    <w:rsid w:val="7FDFC8AA"/>
    <w:rsid w:val="7FFD2159"/>
    <w:rsid w:val="7FFF016B"/>
    <w:rsid w:val="7FFFD7FA"/>
    <w:rsid w:val="AFF1F1CE"/>
    <w:rsid w:val="BDF9CC16"/>
    <w:rsid w:val="BFF62742"/>
    <w:rsid w:val="D9EECB3D"/>
    <w:rsid w:val="E3FF4346"/>
    <w:rsid w:val="EA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NOTE_Normal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付钦莎</cp:lastModifiedBy>
  <dcterms:modified xsi:type="dcterms:W3CDTF">2022-02-09T07:49:00Z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8CA6A2FA2F2E4136B334623B04A18FC4</vt:lpwstr>
  </property>
</Properties>
</file>