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国家税务总局紫云县税务局2021年政府</w:t>
      </w:r>
    </w:p>
    <w:p>
      <w:pPr>
        <w:spacing w:line="579"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信息公开工作年度报告</w:t>
      </w:r>
    </w:p>
    <w:p>
      <w:pPr>
        <w:pStyle w:val="8"/>
        <w:spacing w:line="560" w:lineRule="exact"/>
        <w:ind w:firstLine="640"/>
        <w:rPr>
          <w:rFonts w:ascii="黑体" w:hAnsi="黑体" w:eastAsia="黑体" w:cs="黑体"/>
          <w:szCs w:val="32"/>
          <w:shd w:val="clear" w:color="auto" w:fill="FFFFFF"/>
        </w:rPr>
      </w:pPr>
    </w:p>
    <w:p>
      <w:pPr>
        <w:spacing w:line="579" w:lineRule="exact"/>
        <w:ind w:firstLine="640" w:firstLineChars="200"/>
        <w:jc w:val="left"/>
        <w:rPr>
          <w:rFonts w:ascii="仿宋_GB2312" w:hAnsi="宋体" w:eastAsia="仿宋_GB2312" w:cs="宋体"/>
          <w:szCs w:val="32"/>
        </w:rPr>
      </w:pPr>
      <w:r>
        <w:rPr>
          <w:rFonts w:hint="eastAsia" w:ascii="黑体" w:hAnsi="黑体" w:eastAsia="黑体" w:cs="黑体"/>
          <w:sz w:val="32"/>
          <w:szCs w:val="32"/>
          <w:shd w:val="clear" w:color="auto" w:fill="FFFFFF"/>
        </w:rPr>
        <w:t xml:space="preserve">一、总体情况 </w:t>
      </w:r>
    </w:p>
    <w:p>
      <w:pPr>
        <w:spacing w:line="579" w:lineRule="exact"/>
        <w:ind w:firstLine="640" w:firstLineChars="200"/>
        <w:jc w:val="left"/>
        <w:rPr>
          <w:rFonts w:ascii="黑体" w:hAnsi="黑体" w:eastAsia="仿宋_GB2312" w:cs="黑体"/>
          <w:sz w:val="32"/>
          <w:szCs w:val="32"/>
          <w:shd w:val="clear" w:color="auto" w:fill="FFFFFF"/>
        </w:rPr>
      </w:pPr>
      <w:r>
        <w:rPr>
          <w:rFonts w:hint="eastAsia" w:ascii="仿宋_GB2312" w:hAnsi="宋体" w:eastAsia="仿宋_GB2312" w:cs="宋体"/>
          <w:sz w:val="32"/>
          <w:szCs w:val="32"/>
        </w:rPr>
        <w:t>根据《中华人民共和国政府信息公开条例》规定,结合上级有关文件精神等要求，现就国家税务总局紫云苗族布依族自治县税务局2021年政府信息主动公开、依申请公开、存在的主要问题和改进措施等有关情况进行报告。报告中所列数据为国家税务总局紫云苗族布依族</w:t>
      </w:r>
      <w:r>
        <w:rPr>
          <w:rFonts w:ascii="仿宋_GB2312" w:hAnsi="宋体" w:eastAsia="仿宋_GB2312" w:cs="宋体"/>
          <w:sz w:val="32"/>
          <w:szCs w:val="32"/>
        </w:rPr>
        <w:t>自治县</w:t>
      </w:r>
      <w:r>
        <w:rPr>
          <w:rFonts w:hint="eastAsia" w:ascii="仿宋_GB2312" w:hAnsi="宋体" w:eastAsia="仿宋_GB2312" w:cs="宋体"/>
          <w:sz w:val="32"/>
          <w:szCs w:val="32"/>
        </w:rPr>
        <w:t>税务局</w:t>
      </w:r>
      <w:r>
        <w:rPr>
          <w:rFonts w:ascii="仿宋_GB2312" w:hAnsi="宋体" w:eastAsia="仿宋_GB2312" w:cs="宋体"/>
          <w:sz w:val="32"/>
          <w:szCs w:val="32"/>
        </w:rPr>
        <w:t>202</w:t>
      </w:r>
      <w:r>
        <w:rPr>
          <w:rFonts w:hint="eastAsia" w:ascii="仿宋_GB2312" w:hAnsi="宋体" w:eastAsia="仿宋_GB2312" w:cs="宋体"/>
          <w:sz w:val="32"/>
          <w:szCs w:val="32"/>
        </w:rPr>
        <w:t>1年全年的数据，统计期限自</w:t>
      </w:r>
      <w:r>
        <w:rPr>
          <w:rFonts w:ascii="仿宋_GB2312" w:hAnsi="宋体" w:eastAsia="仿宋_GB2312" w:cs="宋体"/>
          <w:sz w:val="32"/>
          <w:szCs w:val="32"/>
        </w:rPr>
        <w:t>202</w:t>
      </w:r>
      <w:r>
        <w:rPr>
          <w:rFonts w:hint="eastAsia" w:ascii="仿宋_GB2312" w:hAnsi="宋体" w:eastAsia="仿宋_GB2312" w:cs="宋体"/>
          <w:sz w:val="32"/>
          <w:szCs w:val="32"/>
        </w:rPr>
        <w:t>1年</w:t>
      </w:r>
      <w:r>
        <w:rPr>
          <w:rFonts w:ascii="仿宋_GB2312" w:hAnsi="宋体" w:eastAsia="仿宋_GB2312" w:cs="宋体"/>
          <w:sz w:val="32"/>
          <w:szCs w:val="32"/>
        </w:rPr>
        <w:t>1</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日起至</w:t>
      </w:r>
      <w:r>
        <w:rPr>
          <w:rFonts w:ascii="仿宋_GB2312" w:hAnsi="宋体" w:eastAsia="仿宋_GB2312" w:cs="宋体"/>
          <w:sz w:val="32"/>
          <w:szCs w:val="32"/>
        </w:rPr>
        <w:t>202</w:t>
      </w:r>
      <w:r>
        <w:rPr>
          <w:rFonts w:hint="eastAsia" w:ascii="仿宋_GB2312" w:hAnsi="宋体" w:eastAsia="仿宋_GB2312" w:cs="宋体"/>
          <w:sz w:val="32"/>
          <w:szCs w:val="32"/>
        </w:rPr>
        <w:t>1年</w:t>
      </w:r>
      <w:r>
        <w:rPr>
          <w:rFonts w:ascii="仿宋_GB2312" w:hAnsi="宋体" w:eastAsia="仿宋_GB2312" w:cs="宋体"/>
          <w:sz w:val="32"/>
          <w:szCs w:val="32"/>
        </w:rPr>
        <w:t>12</w:t>
      </w:r>
      <w:r>
        <w:rPr>
          <w:rFonts w:hint="eastAsia" w:ascii="仿宋_GB2312" w:hAnsi="宋体" w:eastAsia="仿宋_GB2312" w:cs="宋体"/>
          <w:sz w:val="32"/>
          <w:szCs w:val="32"/>
        </w:rPr>
        <w:t>月</w:t>
      </w:r>
      <w:r>
        <w:rPr>
          <w:rFonts w:ascii="仿宋_GB2312" w:hAnsi="宋体" w:eastAsia="仿宋_GB2312" w:cs="宋体"/>
          <w:sz w:val="32"/>
          <w:szCs w:val="32"/>
        </w:rPr>
        <w:t>31</w:t>
      </w:r>
      <w:r>
        <w:rPr>
          <w:rFonts w:hint="eastAsia" w:ascii="仿宋_GB2312" w:hAnsi="宋体" w:eastAsia="仿宋_GB2312" w:cs="宋体"/>
          <w:sz w:val="32"/>
          <w:szCs w:val="32"/>
        </w:rPr>
        <w:t>日止。</w:t>
      </w:r>
    </w:p>
    <w:p>
      <w:pPr>
        <w:numPr>
          <w:ilvl w:val="0"/>
          <w:numId w:val="1"/>
        </w:numPr>
        <w:spacing w:line="579" w:lineRule="exact"/>
        <w:ind w:firstLine="640" w:firstLineChars="200"/>
        <w:jc w:val="left"/>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主动公开情况</w:t>
      </w:r>
    </w:p>
    <w:p>
      <w:pPr>
        <w:pStyle w:val="8"/>
        <w:spacing w:line="560" w:lineRule="exact"/>
        <w:ind w:firstLine="640"/>
        <w:rPr>
          <w:rFonts w:ascii="仿宋_GB2312" w:hAnsi="宋体" w:eastAsia="仿宋_GB2312" w:cs="宋体"/>
          <w:szCs w:val="32"/>
        </w:rPr>
      </w:pPr>
      <w:r>
        <w:rPr>
          <w:rFonts w:hint="eastAsia" w:ascii="仿宋_GB2312" w:hAnsi="宋体" w:eastAsia="仿宋_GB2312" w:cs="宋体"/>
          <w:szCs w:val="32"/>
        </w:rPr>
        <w:t>2021年，国家税务总局紫云苗族布依族自治县税务局以习近平新时代中国特色社会主义思想为指导，认真学习贯彻党的十九大和十九届二中、三中、四中、五中、六中全会精神及习近平七一讲话精神，全面落实党中央、国务院关于全面推进政务公开工作的决策部署以及《中华人民共和国政府信息公开条例》工作要求，</w:t>
      </w:r>
      <w:r>
        <w:rPr>
          <w:rFonts w:hint="eastAsia" w:ascii="仿宋_GB2312" w:hAnsi="仿宋" w:eastAsia="仿宋_GB2312"/>
          <w:szCs w:val="32"/>
        </w:rPr>
        <w:t>按照国家税务总局贵州省税务局、国家税务总局安顺市税务局、紫云自治县委、县人民政府关于政府信息公开工作的要求，</w:t>
      </w:r>
      <w:r>
        <w:rPr>
          <w:rFonts w:hint="eastAsia" w:ascii="仿宋_GB2312" w:hAnsi="宋体" w:eastAsia="仿宋_GB2312" w:cs="宋体"/>
          <w:szCs w:val="32"/>
        </w:rPr>
        <w:t>坚持“以公开为常态、不公开为例外”原则，进一步加强政务公开规范化标准化建设，完善依申请公开制度规范，加大主动公开力度，拓宽信息发布渠道，着力提升信息公开深度与广度，切实增强纳税人和缴费人的获得感、满意度。</w:t>
      </w:r>
    </w:p>
    <w:p>
      <w:pPr>
        <w:pStyle w:val="8"/>
        <w:spacing w:line="560" w:lineRule="exact"/>
        <w:ind w:firstLine="640"/>
        <w:rPr>
          <w:rFonts w:ascii="楷体_GB2312" w:hAnsi="楷体_GB2312" w:eastAsia="楷体_GB2312" w:cs="楷体_GB2312"/>
          <w:szCs w:val="32"/>
          <w:shd w:val="clear" w:color="auto" w:fill="FFFFFF"/>
        </w:rPr>
      </w:pPr>
      <w:r>
        <w:rPr>
          <w:rFonts w:hint="eastAsia" w:ascii="仿宋_GB2312" w:hAnsi="宋体" w:eastAsia="仿宋_GB2312" w:cs="宋体"/>
          <w:szCs w:val="32"/>
        </w:rPr>
        <w:t>全年通过政府网站公开信息</w:t>
      </w:r>
      <w:r>
        <w:rPr>
          <w:rFonts w:ascii="仿宋_GB2312" w:hAnsi="宋体" w:eastAsia="仿宋_GB2312" w:cs="宋体"/>
          <w:szCs w:val="32"/>
        </w:rPr>
        <w:t>79</w:t>
      </w:r>
      <w:r>
        <w:rPr>
          <w:rFonts w:hint="eastAsia" w:ascii="仿宋_GB2312" w:hAnsi="宋体" w:eastAsia="仿宋_GB2312" w:cs="宋体"/>
          <w:szCs w:val="32"/>
        </w:rPr>
        <w:t>条，其中工作动态</w:t>
      </w:r>
      <w:r>
        <w:rPr>
          <w:rFonts w:ascii="仿宋_GB2312" w:hAnsi="宋体" w:eastAsia="仿宋_GB2312" w:cs="宋体"/>
          <w:szCs w:val="32"/>
        </w:rPr>
        <w:t>30</w:t>
      </w:r>
      <w:r>
        <w:rPr>
          <w:rFonts w:hint="eastAsia" w:ascii="仿宋_GB2312" w:hAnsi="宋体" w:eastAsia="仿宋_GB2312" w:cs="宋体"/>
          <w:szCs w:val="32"/>
        </w:rPr>
        <w:t>条</w:t>
      </w:r>
      <w:r>
        <w:rPr>
          <w:rFonts w:ascii="仿宋_GB2312" w:hAnsi="宋体" w:eastAsia="仿宋_GB2312" w:cs="宋体"/>
          <w:szCs w:val="32"/>
        </w:rPr>
        <w:t>，</w:t>
      </w:r>
      <w:r>
        <w:rPr>
          <w:rFonts w:hint="eastAsia" w:ascii="仿宋_GB2312" w:hAnsi="宋体" w:eastAsia="仿宋_GB2312" w:cs="宋体"/>
          <w:szCs w:val="32"/>
        </w:rPr>
        <w:t>公</w:t>
      </w:r>
      <w:r>
        <w:rPr>
          <w:rFonts w:hint="eastAsia" w:ascii="仿宋_GB2312" w:hAnsi="宋体" w:eastAsia="仿宋_GB2312" w:cs="宋体"/>
          <w:szCs w:val="32"/>
          <w:lang w:eastAsia="zh-CN"/>
        </w:rPr>
        <w:t>示</w:t>
      </w:r>
      <w:r>
        <w:rPr>
          <w:rFonts w:hint="eastAsia" w:ascii="仿宋_GB2312" w:hAnsi="宋体" w:eastAsia="仿宋_GB2312" w:cs="宋体"/>
          <w:szCs w:val="32"/>
        </w:rPr>
        <w:t>公告49条。</w:t>
      </w:r>
    </w:p>
    <w:p>
      <w:pPr>
        <w:numPr>
          <w:ilvl w:val="0"/>
          <w:numId w:val="1"/>
        </w:numPr>
        <w:spacing w:line="579" w:lineRule="exact"/>
        <w:ind w:firstLine="640" w:firstLineChars="200"/>
        <w:jc w:val="left"/>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依申请公开情况</w:t>
      </w:r>
    </w:p>
    <w:p>
      <w:pPr>
        <w:spacing w:line="579" w:lineRule="exact"/>
        <w:jc w:val="left"/>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我局组织相关人员在学习兴税平台学习《政府信息公开申请处理的五种类型》的课程，提高干部对依申请公开情况的规范处置能力。2021年，我局未收到依申请公开情况。</w:t>
      </w:r>
    </w:p>
    <w:p>
      <w:pPr>
        <w:numPr>
          <w:ilvl w:val="0"/>
          <w:numId w:val="1"/>
        </w:numPr>
        <w:spacing w:line="579" w:lineRule="exact"/>
        <w:ind w:firstLine="640" w:firstLineChars="200"/>
        <w:jc w:val="left"/>
        <w:rPr>
          <w:rFonts w:ascii="仿宋_GB2312" w:hAnsi="仿宋" w:eastAsia="仿宋_GB2312"/>
          <w:sz w:val="32"/>
          <w:szCs w:val="32"/>
        </w:rPr>
      </w:pPr>
      <w:r>
        <w:rPr>
          <w:rFonts w:hint="eastAsia" w:ascii="楷体_GB2312" w:hAnsi="楷体_GB2312" w:eastAsia="楷体_GB2312" w:cs="楷体_GB2312"/>
          <w:sz w:val="32"/>
          <w:szCs w:val="32"/>
          <w:shd w:val="clear" w:color="auto" w:fill="FFFFFF"/>
        </w:rPr>
        <w:t>政府信息管理</w:t>
      </w:r>
    </w:p>
    <w:p>
      <w:pPr>
        <w:spacing w:line="579" w:lineRule="exact"/>
        <w:ind w:firstLine="640" w:firstLineChars="200"/>
        <w:rPr>
          <w:rFonts w:ascii="楷体_GB2312" w:hAnsi="楷体_GB2312" w:eastAsia="楷体_GB2312" w:cs="楷体_GB2312"/>
          <w:sz w:val="32"/>
          <w:szCs w:val="32"/>
          <w:shd w:val="clear" w:color="auto" w:fill="FFFFFF"/>
        </w:rPr>
      </w:pPr>
      <w:r>
        <w:rPr>
          <w:rFonts w:hint="eastAsia" w:ascii="仿宋_GB2312" w:hAnsi="Calibri" w:eastAsia="仿宋_GB2312" w:cs="宋体"/>
          <w:color w:val="000000"/>
          <w:kern w:val="0"/>
          <w:sz w:val="32"/>
          <w:szCs w:val="32"/>
          <w:lang w:val="zh-CN"/>
        </w:rPr>
        <w:t>县局领导高度重视政府信息公开工作，成立了由党委书记、局长任组长，分管副局长任副组长、相关股室为成员的政府信息公开工作领导小组，严格落实各股室的职能职责。由办公室组织实施政务公开并具体承办政务公开工作内容上报、更新、维护、组织协调等日常工作。各股室提供信息，由信息员负责收集、整理政府信息，统一发布，做到了一级抓一级，层层抓落实，做到政务公开与税收业务工作同安排、同部署、同检查、同考核，保证政务公开工作年初有计划，年终有总结。形成了职责分明、分工合理、各司其职、齐抓共管的工作局面，保证了202</w:t>
      </w:r>
      <w:r>
        <w:rPr>
          <w:rFonts w:hint="eastAsia" w:ascii="仿宋_GB2312" w:hAnsi="Calibri" w:eastAsia="仿宋_GB2312" w:cs="宋体"/>
          <w:color w:val="000000"/>
          <w:kern w:val="0"/>
          <w:sz w:val="32"/>
          <w:szCs w:val="32"/>
        </w:rPr>
        <w:t>1</w:t>
      </w:r>
      <w:r>
        <w:rPr>
          <w:rFonts w:hint="eastAsia" w:ascii="仿宋_GB2312" w:hAnsi="Calibri" w:eastAsia="仿宋_GB2312" w:cs="宋体"/>
          <w:color w:val="000000"/>
          <w:kern w:val="0"/>
          <w:sz w:val="32"/>
          <w:szCs w:val="32"/>
          <w:lang w:val="zh-CN"/>
        </w:rPr>
        <w:t>年政府信息公开工作的有序推进。严格遵循“谁公开、谁负责”和“先审查、后公开”的原则，进一步加强信息公开审核，确保上网信息中无涉密、隐私等不能公开的内容。全年共举办各类培训班</w:t>
      </w:r>
      <w:r>
        <w:rPr>
          <w:rFonts w:ascii="仿宋_GB2312" w:hAnsi="Calibri" w:eastAsia="仿宋_GB2312" w:cs="宋体"/>
          <w:color w:val="000000"/>
          <w:kern w:val="0"/>
          <w:sz w:val="32"/>
          <w:szCs w:val="32"/>
        </w:rPr>
        <w:t>1</w:t>
      </w:r>
      <w:r>
        <w:rPr>
          <w:rFonts w:hint="eastAsia" w:ascii="仿宋_GB2312" w:hAnsi="Calibri" w:eastAsia="仿宋_GB2312" w:cs="宋体"/>
          <w:color w:val="000000"/>
          <w:kern w:val="0"/>
          <w:sz w:val="32"/>
          <w:szCs w:val="32"/>
          <w:lang w:val="zh-CN"/>
        </w:rPr>
        <w:t>次，</w:t>
      </w:r>
      <w:r>
        <w:rPr>
          <w:rFonts w:hint="eastAsia" w:ascii="仿宋_GB2312" w:hAnsi="仿宋" w:eastAsia="仿宋_GB2312"/>
          <w:sz w:val="32"/>
          <w:szCs w:val="32"/>
        </w:rPr>
        <w:t>培训有关人员</w:t>
      </w:r>
      <w:r>
        <w:rPr>
          <w:rFonts w:ascii="仿宋_GB2312" w:hAnsi="仿宋" w:eastAsia="仿宋_GB2312"/>
          <w:sz w:val="32"/>
          <w:szCs w:val="32"/>
        </w:rPr>
        <w:t>20</w:t>
      </w:r>
      <w:r>
        <w:rPr>
          <w:rFonts w:hint="eastAsia" w:ascii="仿宋_GB2312" w:hAnsi="仿宋" w:eastAsia="仿宋_GB2312"/>
          <w:sz w:val="32"/>
          <w:szCs w:val="32"/>
        </w:rPr>
        <w:t>人次。</w:t>
      </w:r>
    </w:p>
    <w:p>
      <w:pPr>
        <w:numPr>
          <w:ilvl w:val="0"/>
          <w:numId w:val="1"/>
        </w:numPr>
        <w:spacing w:line="579" w:lineRule="exact"/>
        <w:ind w:firstLine="640" w:firstLineChars="200"/>
        <w:jc w:val="left"/>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政府信息公开平台建设</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仿宋_GB2312" w:hAnsi="Calibri" w:eastAsia="仿宋_GB2312" w:cs="宋体"/>
          <w:color w:val="000000"/>
          <w:kern w:val="0"/>
          <w:sz w:val="32"/>
          <w:szCs w:val="32"/>
          <w:lang w:val="zh-CN"/>
        </w:rPr>
        <w:t>按照《中华人民共和国政府信息公开条例》的规定，做到“公开内容充实、公开时间及时、公开重点明确”三项基本要求，主动、及时、准确地公开政府信息，依法依规满足纳税人缴费人需求。同时不断拓宽</w:t>
      </w:r>
      <w:r>
        <w:rPr>
          <w:rFonts w:hint="eastAsia" w:ascii="仿宋_GB2312" w:hAnsi="仿宋" w:eastAsia="仿宋_GB2312"/>
          <w:sz w:val="32"/>
          <w:szCs w:val="32"/>
        </w:rPr>
        <w:t>政务公开的形式上，讲求实效。</w:t>
      </w:r>
      <w:r>
        <w:rPr>
          <w:rFonts w:hint="eastAsia" w:ascii="仿宋_GB2312" w:hAnsi="仿宋" w:eastAsia="仿宋_GB2312"/>
          <w:b/>
          <w:sz w:val="32"/>
          <w:szCs w:val="32"/>
        </w:rPr>
        <w:t>一是打造线下公开“主战场”。</w:t>
      </w:r>
      <w:r>
        <w:rPr>
          <w:rFonts w:hint="eastAsia" w:ascii="仿宋_GB2312" w:hAnsi="仿宋" w:eastAsia="仿宋_GB2312"/>
          <w:sz w:val="32"/>
          <w:szCs w:val="32"/>
        </w:rPr>
        <w:t>在办公楼及办税服务厅设置政务信息公开专栏，将各岗位工作职责及权限、税务工作人员的服务行为标准和服务承诺、窗口开票的税目、税率、计税依据、税务登记证办证、验证、发票工本费收取标准、违法违规处罚通报等内容进行公开。在大厅设立税收咨询专窗，由业务骨干担任咨询员，向纳税人提供税收政策和业务咨询，及时解答纳税人办税中遇到的难题。</w:t>
      </w:r>
      <w:r>
        <w:rPr>
          <w:rFonts w:hint="eastAsia" w:ascii="仿宋_GB2312" w:hAnsi="仿宋" w:eastAsia="仿宋_GB2312"/>
          <w:b/>
          <w:sz w:val="32"/>
          <w:szCs w:val="32"/>
        </w:rPr>
        <w:t>二是充实线上公开“新阵地”。</w:t>
      </w:r>
      <w:r>
        <w:rPr>
          <w:rFonts w:hint="eastAsia" w:ascii="仿宋_GB2312" w:hAnsi="仿宋" w:eastAsia="仿宋_GB2312"/>
          <w:sz w:val="32"/>
          <w:szCs w:val="32"/>
        </w:rPr>
        <w:t>通过</w:t>
      </w:r>
      <w:r>
        <w:rPr>
          <w:rFonts w:ascii="仿宋_GB2312" w:hAnsi="仿宋" w:eastAsia="仿宋_GB2312"/>
          <w:sz w:val="32"/>
          <w:szCs w:val="32"/>
        </w:rPr>
        <w:t>LED</w:t>
      </w:r>
      <w:r>
        <w:rPr>
          <w:rFonts w:hint="eastAsia" w:ascii="仿宋_GB2312" w:hAnsi="仿宋" w:eastAsia="仿宋_GB2312"/>
          <w:sz w:val="32"/>
          <w:szCs w:val="32"/>
        </w:rPr>
        <w:t>屏，不间断播放纳税人权利义务、办税指南、税收政策法规、税收定额、欠税公告、行政处罚、稽查结果等，拓展了税宣载体和方式，效果明显。将减税降费、城乡两费征收、企业社保费征收、延缓缴纳等相关政策，在市局、县局网站、市局微信公众号进行公开，让纳税人、缴费人知晓。</w:t>
      </w:r>
    </w:p>
    <w:p>
      <w:pPr>
        <w:numPr>
          <w:ilvl w:val="0"/>
          <w:numId w:val="1"/>
        </w:numPr>
        <w:spacing w:line="579" w:lineRule="exact"/>
        <w:ind w:firstLine="640" w:firstLineChars="200"/>
        <w:jc w:val="left"/>
        <w:rPr>
          <w:rFonts w:ascii="黑体" w:hAnsi="黑体" w:eastAsia="黑体" w:cs="黑体"/>
          <w:sz w:val="32"/>
          <w:szCs w:val="32"/>
          <w:shd w:val="clear" w:color="auto" w:fill="FFFFFF"/>
        </w:rPr>
      </w:pPr>
      <w:r>
        <w:rPr>
          <w:rFonts w:hint="eastAsia" w:ascii="楷体_GB2312" w:hAnsi="楷体_GB2312" w:eastAsia="楷体_GB2312" w:cs="楷体_GB2312"/>
          <w:sz w:val="32"/>
          <w:szCs w:val="32"/>
          <w:shd w:val="clear" w:color="auto" w:fill="FFFFFF"/>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明确专人负责信息公开审查，规范信息发布，强化保密审查，确保涉密信息不公开，公开信息做到及时，依法保障纳税人获取政府信息的权利。将政务公开工作纳入绩效考核，考核结果作为单位评先、评优和干部任免的重要依据。实行政务公开责任追究制度，对拒不实行政务公开，或按规定要公开的不公开，或弄虚作假，或承诺不兑现、投诉处理不及时的，视情节轻重追究主要负责人及直接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shd w:val="clear" w:color="auto" w:fill="FFFFFF"/>
        </w:rPr>
      </w:pPr>
      <w:r>
        <w:rPr>
          <w:rFonts w:hint="eastAsia" w:ascii="仿宋_GB2312" w:hAnsi="仿宋" w:eastAsia="仿宋_GB2312"/>
          <w:sz w:val="32"/>
          <w:szCs w:val="32"/>
        </w:rPr>
        <w:t>同时加强政务公开工作整改，对于县委县政府和市局政务公开部门提出的整改意见，我局及时召开专题会议进行分析研究，明确整改责任和整改时限，认真抓好整改落实，并向有关部门反馈。加强同其他单位的政务公开工作交流，学习借鉴新进经验，不断提升我局政务公开工作水平。</w:t>
      </w:r>
    </w:p>
    <w:p>
      <w:pPr>
        <w:spacing w:line="579"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5"/>
        <w:tblW w:w="8140" w:type="dxa"/>
        <w:jc w:val="center"/>
        <w:tblLayout w:type="fixed"/>
        <w:tblCellMar>
          <w:top w:w="0" w:type="dxa"/>
          <w:left w:w="0" w:type="dxa"/>
          <w:bottom w:w="0" w:type="dxa"/>
          <w:right w:w="0" w:type="dxa"/>
        </w:tblCellMar>
      </w:tblPr>
      <w:tblGrid>
        <w:gridCol w:w="2352"/>
        <w:gridCol w:w="1991"/>
        <w:gridCol w:w="1916"/>
        <w:gridCol w:w="1881"/>
      </w:tblGrid>
      <w:tr>
        <w:tblPrEx>
          <w:tblCellMar>
            <w:top w:w="0" w:type="dxa"/>
            <w:left w:w="0" w:type="dxa"/>
            <w:bottom w:w="0" w:type="dxa"/>
            <w:right w:w="0" w:type="dxa"/>
          </w:tblCellMar>
        </w:tblPrEx>
        <w:trPr>
          <w:trHeight w:val="698"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99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本年制发件数</w:t>
            </w:r>
          </w:p>
        </w:tc>
        <w:tc>
          <w:tcPr>
            <w:tcW w:w="19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现行有效件数</w:t>
            </w:r>
          </w:p>
        </w:tc>
      </w:tr>
      <w:tr>
        <w:tblPrEx>
          <w:tblCellMar>
            <w:top w:w="0" w:type="dxa"/>
            <w:left w:w="0" w:type="dxa"/>
            <w:bottom w:w="0" w:type="dxa"/>
            <w:right w:w="0" w:type="dxa"/>
          </w:tblCellMar>
        </w:tblPrEx>
        <w:trPr>
          <w:trHeight w:val="523"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规章</w:t>
            </w:r>
          </w:p>
        </w:tc>
        <w:tc>
          <w:tcPr>
            <w:tcW w:w="19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40" w:firstLineChars="400"/>
              <w:jc w:val="left"/>
              <w:rPr>
                <w:rFonts w:ascii="宋体" w:hAnsi="宋体" w:cs="宋体"/>
                <w:kern w:val="0"/>
                <w:sz w:val="24"/>
              </w:rPr>
            </w:pPr>
            <w:r>
              <w:rPr>
                <w:rFonts w:hint="eastAsia"/>
                <w:color w:val="000000"/>
                <w:szCs w:val="21"/>
              </w:rPr>
              <w:t>0</w:t>
            </w:r>
          </w:p>
        </w:tc>
        <w:tc>
          <w:tcPr>
            <w:tcW w:w="19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Cs w:val="21"/>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724" w:firstLineChars="345"/>
              <w:jc w:val="left"/>
              <w:rPr>
                <w:rFonts w:ascii="宋体" w:hAnsi="宋体" w:cs="宋体"/>
                <w:kern w:val="0"/>
                <w:sz w:val="24"/>
              </w:rPr>
            </w:pPr>
            <w:r>
              <w:rPr>
                <w:rFonts w:hint="eastAsia"/>
                <w:color w:val="000000"/>
                <w:szCs w:val="21"/>
              </w:rPr>
              <w:t>0</w:t>
            </w:r>
          </w:p>
        </w:tc>
      </w:tr>
      <w:tr>
        <w:tblPrEx>
          <w:tblCellMar>
            <w:top w:w="0" w:type="dxa"/>
            <w:left w:w="0" w:type="dxa"/>
            <w:bottom w:w="0" w:type="dxa"/>
            <w:right w:w="0" w:type="dxa"/>
          </w:tblCellMar>
        </w:tblPrEx>
        <w:trPr>
          <w:trHeight w:val="7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规范性文件</w:t>
            </w:r>
          </w:p>
        </w:tc>
        <w:tc>
          <w:tcPr>
            <w:tcW w:w="19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35" w:firstLineChars="398"/>
              <w:jc w:val="left"/>
              <w:rPr>
                <w:rFonts w:ascii="宋体" w:hAnsi="宋体" w:cs="宋体"/>
                <w:kern w:val="0"/>
                <w:sz w:val="24"/>
              </w:rPr>
            </w:pPr>
            <w:r>
              <w:rPr>
                <w:rFonts w:hint="eastAsia"/>
                <w:color w:val="000000"/>
                <w:szCs w:val="21"/>
              </w:rPr>
              <w:t>0</w:t>
            </w:r>
          </w:p>
        </w:tc>
        <w:tc>
          <w:tcPr>
            <w:tcW w:w="19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Cs w:val="21"/>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Cs w:val="21"/>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本年处理决定数量</w:t>
            </w:r>
          </w:p>
        </w:tc>
      </w:tr>
      <w:tr>
        <w:tblPrEx>
          <w:tblCellMar>
            <w:top w:w="0" w:type="dxa"/>
            <w:left w:w="0" w:type="dxa"/>
            <w:bottom w:w="0" w:type="dxa"/>
            <w:right w:w="0" w:type="dxa"/>
          </w:tblCellMar>
        </w:tblPrEx>
        <w:trPr>
          <w:trHeight w:val="658"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行政许可</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205</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本年处理决定数量</w:t>
            </w:r>
          </w:p>
        </w:tc>
      </w:tr>
      <w:tr>
        <w:tblPrEx>
          <w:tblCellMar>
            <w:top w:w="0" w:type="dxa"/>
            <w:left w:w="0" w:type="dxa"/>
            <w:bottom w:w="0" w:type="dxa"/>
            <w:right w:w="0" w:type="dxa"/>
          </w:tblCellMar>
        </w:tblPrEx>
        <w:trPr>
          <w:trHeight w:val="557"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行政处罚</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471</w:t>
            </w:r>
          </w:p>
        </w:tc>
      </w:tr>
      <w:tr>
        <w:tblPrEx>
          <w:tblCellMar>
            <w:top w:w="0" w:type="dxa"/>
            <w:left w:w="0" w:type="dxa"/>
            <w:bottom w:w="0" w:type="dxa"/>
            <w:right w:w="0" w:type="dxa"/>
          </w:tblCellMar>
        </w:tblPrEx>
        <w:trPr>
          <w:trHeight w:val="549"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行政强制</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4"/>
              </w:rPr>
              <w:t xml:space="preserve">                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577"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本年收费金额（单位：万元）</w:t>
            </w:r>
          </w:p>
        </w:tc>
      </w:tr>
      <w:tr>
        <w:tblPrEx>
          <w:tblCellMar>
            <w:top w:w="0" w:type="dxa"/>
            <w:left w:w="0" w:type="dxa"/>
            <w:bottom w:w="0" w:type="dxa"/>
            <w:right w:w="0" w:type="dxa"/>
          </w:tblCellMar>
        </w:tblPrEx>
        <w:trPr>
          <w:trHeight w:val="551"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行政事业性收费</w:t>
            </w:r>
          </w:p>
        </w:tc>
        <w:tc>
          <w:tcPr>
            <w:tcW w:w="578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 xml:space="preserve"> 0</w:t>
            </w:r>
          </w:p>
        </w:tc>
      </w:tr>
    </w:tbl>
    <w:p>
      <w:pPr>
        <w:spacing w:line="579" w:lineRule="exact"/>
        <w:ind w:firstLine="640" w:firstLineChars="200"/>
        <w:jc w:val="left"/>
        <w:rPr>
          <w:rFonts w:ascii="黑体" w:hAnsi="黑体" w:eastAsia="黑体" w:cs="黑体"/>
          <w:sz w:val="32"/>
          <w:szCs w:val="32"/>
          <w:shd w:val="clear" w:color="auto" w:fill="FFFFFF"/>
        </w:rPr>
      </w:pPr>
    </w:p>
    <w:p>
      <w:pPr>
        <w:spacing w:line="579"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三、收到和处理政府信息公开申请情况</w:t>
      </w:r>
    </w:p>
    <w:tbl>
      <w:tblPr>
        <w:tblStyle w:val="5"/>
        <w:tblW w:w="9071" w:type="dxa"/>
        <w:jc w:val="center"/>
        <w:tblLayout w:type="fixed"/>
        <w:tblCellMar>
          <w:top w:w="0" w:type="dxa"/>
          <w:left w:w="0" w:type="dxa"/>
          <w:bottom w:w="0" w:type="dxa"/>
          <w:right w:w="0" w:type="dxa"/>
        </w:tblCellMar>
      </w:tblPr>
      <w:tblGrid>
        <w:gridCol w:w="912"/>
        <w:gridCol w:w="729"/>
        <w:gridCol w:w="2902"/>
        <w:gridCol w:w="673"/>
        <w:gridCol w:w="602"/>
        <w:gridCol w:w="645"/>
        <w:gridCol w:w="673"/>
        <w:gridCol w:w="687"/>
        <w:gridCol w:w="673"/>
        <w:gridCol w:w="575"/>
      </w:tblGrid>
      <w:tr>
        <w:tblPrEx>
          <w:tblCellMar>
            <w:top w:w="0" w:type="dxa"/>
            <w:left w:w="0" w:type="dxa"/>
            <w:bottom w:w="0" w:type="dxa"/>
            <w:right w:w="0" w:type="dxa"/>
          </w:tblCellMar>
        </w:tblPrEx>
        <w:trPr>
          <w:jc w:val="center"/>
        </w:trPr>
        <w:tc>
          <w:tcPr>
            <w:tcW w:w="454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（本列数据的勾稽关系为：第一项和第二项之和，等于第三项和第四项之和）</w:t>
            </w:r>
          </w:p>
        </w:tc>
        <w:tc>
          <w:tcPr>
            <w:tcW w:w="452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54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7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32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57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54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73"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6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6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6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57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eastAsia="微软雅黑" w:asciiTheme="minorHAnsi" w:hAnsiTheme="minorHAnsi"/>
                <w:color w:val="000000"/>
                <w:szCs w:val="21"/>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4"/>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（一）予以公开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楷体" w:cs="宋体"/>
                <w:kern w:val="0"/>
                <w:sz w:val="24"/>
              </w:rPr>
            </w:pPr>
            <w:r>
              <w:rPr>
                <w:rFonts w:hint="eastAsia" w:ascii="楷体" w:hAnsi="楷体" w:eastAsia="楷体" w:cs="宋体"/>
                <w:kern w:val="0"/>
                <w:sz w:val="20"/>
                <w:szCs w:val="20"/>
              </w:rPr>
              <w:t>（二）部分公开（区分处理的，只计这一情形，不计其他情形）</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trHeight w:val="325" w:hRule="atLeast"/>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（三）不予公开</w:t>
            </w: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1.属于国家秘密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2.其他法律行政法规禁止公开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3.危及“三安全一稳定”</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eastAsia="微软雅黑" w:asciiTheme="minorHAnsi" w:hAnsiTheme="minorHAnsi"/>
                <w:color w:val="000000"/>
                <w:szCs w:val="21"/>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4.保护第三方合法权益</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4"/>
              </w:rPr>
              <w:t>0</w:t>
            </w:r>
          </w:p>
        </w:tc>
        <w:tc>
          <w:tcPr>
            <w:tcW w:w="6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5.属于三类内部事务信息</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6.属于四类过程性信息</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7.属于行政执法案卷</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8.属于行政查询事项</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eastAsia="微软雅黑" w:asciiTheme="minorHAnsi" w:hAnsiTheme="minorHAnsi"/>
                <w:color w:val="000000"/>
                <w:szCs w:val="21"/>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（四）无法提供</w:t>
            </w: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1.本机关不掌握相关政府信息</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4"/>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2.没有现成信息需要另行制作</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trHeight w:val="339" w:hRule="atLeast"/>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c>
          <w:tcPr>
            <w:tcW w:w="29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3.补正后申请内容仍不明确</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trHeight w:val="479" w:hRule="atLeast"/>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（五）不予处理</w:t>
            </w: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1.信访举报投诉类申请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2.重复申请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eastAsia="微软雅黑" w:asciiTheme="minorHAnsi" w:hAnsiTheme="minorHAnsi"/>
                <w:color w:val="000000"/>
                <w:szCs w:val="21"/>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3.要求提供公开出版物</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4"/>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4.无正当理由大量反复申请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5.要求行政机关确认或重新出具已获取信息</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（六）其他处理</w:t>
            </w: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tc>
        <w:tc>
          <w:tcPr>
            <w:tcW w:w="729" w:type="dxa"/>
            <w:vMerge w:val="continue"/>
            <w:tcBorders>
              <w:left w:val="nil"/>
              <w:right w:val="single" w:color="auto" w:sz="4" w:space="0"/>
            </w:tcBorders>
            <w:tcMar>
              <w:top w:w="0" w:type="dxa"/>
              <w:left w:w="108" w:type="dxa"/>
              <w:bottom w:w="0" w:type="dxa"/>
              <w:right w:w="108" w:type="dxa"/>
            </w:tcMar>
            <w:vAlign w:val="center"/>
          </w:tcPr>
          <w:p>
            <w:pPr>
              <w:widowControl/>
              <w:jc w:val="left"/>
              <w:rPr>
                <w:rFonts w:ascii="楷体" w:hAnsi="楷体" w:eastAsia="楷体" w:cs="宋体"/>
                <w:kern w:val="0"/>
                <w:sz w:val="20"/>
                <w:szCs w:val="20"/>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2.申请人逾期未按收费通知要求缴纳费用、行政机关不再处理其政府信息申请</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eastAsia="微软雅黑" w:asciiTheme="minorHAnsi" w:hAnsiTheme="minorHAnsi"/>
                <w:color w:val="000000"/>
                <w:szCs w:val="21"/>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 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ascii="楷体" w:hAnsi="楷体" w:eastAsia="楷体" w:cs="宋体"/>
                <w:kern w:val="0"/>
                <w:sz w:val="20"/>
                <w:szCs w:val="20"/>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3.其他</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4"/>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0"/>
                <w:szCs w:val="20"/>
              </w:rPr>
            </w:pPr>
            <w:r>
              <w:rPr>
                <w:rFonts w:cs="宋体" w:asciiTheme="minorHAnsi" w:hAnsiTheme="minorHAnsi"/>
                <w:kern w:val="0"/>
                <w:sz w:val="20"/>
                <w:szCs w:val="20"/>
              </w:rPr>
              <w:t>0 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（七）总计</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r>
        <w:tblPrEx>
          <w:tblCellMar>
            <w:top w:w="0" w:type="dxa"/>
            <w:left w:w="0" w:type="dxa"/>
            <w:bottom w:w="0" w:type="dxa"/>
            <w:right w:w="0" w:type="dxa"/>
          </w:tblCellMar>
        </w:tblPrEx>
        <w:trPr>
          <w:trHeight w:val="502" w:hRule="atLeast"/>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 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HAnsi" w:hAnsiTheme="minorHAnsi"/>
                <w:kern w:val="0"/>
                <w:sz w:val="24"/>
              </w:rPr>
            </w:pPr>
            <w:r>
              <w:rPr>
                <w:rFonts w:cs="宋体" w:asciiTheme="minorHAnsi" w:hAnsiTheme="minorHAnsi"/>
                <w:kern w:val="0"/>
                <w:sz w:val="20"/>
                <w:szCs w:val="20"/>
              </w:rPr>
              <w:t>0 </w:t>
            </w:r>
          </w:p>
        </w:tc>
      </w:tr>
    </w:tbl>
    <w:p>
      <w:pPr>
        <w:spacing w:line="579" w:lineRule="exact"/>
        <w:jc w:val="left"/>
        <w:rPr>
          <w:rFonts w:ascii="黑体" w:hAnsi="黑体" w:eastAsia="黑体" w:cs="黑体"/>
          <w:sz w:val="32"/>
          <w:szCs w:val="32"/>
          <w:shd w:val="clear" w:color="auto" w:fill="FFFFFF"/>
        </w:rPr>
      </w:pPr>
    </w:p>
    <w:p>
      <w:pPr>
        <w:spacing w:line="579"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四、政府信息公开行政复议、行政诉讼情况</w:t>
      </w:r>
    </w:p>
    <w:tbl>
      <w:tblPr>
        <w:tblStyle w:val="5"/>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4"/>
              </w:rPr>
              <w:t>0</w:t>
            </w:r>
          </w:p>
        </w:tc>
      </w:tr>
    </w:tbl>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2021年政务公开工作稳步开展，但也存在一些问题，主要表现在：一是政务公开平台栏目有些信息公开不够及时；二是对县政府某些栏目理解不准确、不到位，导致公开的信息与要求相比还存在一定差距；三是政务公开专业人才缺乏，后续人才培养方面还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针对上述问题，2022年我局将严格对照县委县政府和安顺市税务局有关政务公开工作的最新要求和部署，提升站位、加强领导、配强人力资源、抓好存在问题的整改落实，确保我局政务公开工作依法规范开展。</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其他需要报告的事项</w:t>
      </w:r>
    </w:p>
    <w:p>
      <w:pPr>
        <w:pStyle w:val="4"/>
        <w:widowControl/>
        <w:shd w:val="clear" w:color="auto" w:fill="FFFFFF"/>
        <w:spacing w:beforeAutospacing="0" w:afterAutospacing="0" w:line="560" w:lineRule="exact"/>
        <w:ind w:firstLine="640" w:firstLineChars="200"/>
        <w:jc w:val="both"/>
        <w:rPr>
          <w:rFonts w:ascii="仿宋_GB2312" w:hAnsi="仿宋" w:eastAsia="仿宋_GB2312" w:cs="黑体"/>
          <w:kern w:val="2"/>
          <w:sz w:val="32"/>
          <w:szCs w:val="32"/>
        </w:rPr>
      </w:pPr>
      <w:r>
        <w:rPr>
          <w:rFonts w:hint="eastAsia" w:ascii="黑体" w:hAnsi="黑体" w:eastAsia="黑体" w:cs="黑体"/>
          <w:sz w:val="32"/>
          <w:szCs w:val="32"/>
        </w:rPr>
        <w:t xml:space="preserve"> </w:t>
      </w:r>
      <w:r>
        <w:rPr>
          <w:rFonts w:hint="eastAsia" w:ascii="仿宋_GB2312" w:hAnsi="仿宋" w:eastAsia="仿宋_GB2312" w:cs="黑体"/>
          <w:kern w:val="2"/>
          <w:sz w:val="32"/>
          <w:szCs w:val="32"/>
        </w:rPr>
        <w:t>无。</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59B95"/>
    <w:multiLevelType w:val="singleLevel"/>
    <w:tmpl w:val="90459B95"/>
    <w:lvl w:ilvl="0" w:tentative="0">
      <w:start w:val="1"/>
      <w:numFmt w:val="chineseCounting"/>
      <w:suff w:val="nothing"/>
      <w:lvlText w:val="（%1）"/>
      <w:lvlJc w:val="left"/>
      <w:rPr>
        <w:rFonts w:hint="eastAsia" w:ascii="楷体_GB2312" w:hAnsi="楷体_GB2312" w:eastAsia="楷体_GB2312" w:cs="楷体_GB2312"/>
        <w:sz w:val="32"/>
        <w:szCs w:val="32"/>
        <w:lang w:val="en-US"/>
      </w:rPr>
    </w:lvl>
  </w:abstractNum>
  <w:abstractNum w:abstractNumId="1">
    <w:nsid w:val="BB42453A"/>
    <w:multiLevelType w:val="singleLevel"/>
    <w:tmpl w:val="BB42453A"/>
    <w:lvl w:ilvl="0" w:tentative="0">
      <w:start w:val="6"/>
      <w:numFmt w:val="chineseCounting"/>
      <w:suff w:val="nothing"/>
      <w:lvlText w:val="%1、"/>
      <w:lvlJc w:val="left"/>
      <w:rPr>
        <w:rFonts w:hint="eastAsia"/>
      </w:rPr>
    </w:lvl>
  </w:abstractNum>
  <w:abstractNum w:abstractNumId="2">
    <w:nsid w:val="5D808E0F"/>
    <w:multiLevelType w:val="singleLevel"/>
    <w:tmpl w:val="5D808E0F"/>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2ABF"/>
    <w:rsid w:val="0028487E"/>
    <w:rsid w:val="00581C50"/>
    <w:rsid w:val="006E7A25"/>
    <w:rsid w:val="00DD75E7"/>
    <w:rsid w:val="00ED0914"/>
    <w:rsid w:val="00F2785A"/>
    <w:rsid w:val="09546CB5"/>
    <w:rsid w:val="0CB32ABF"/>
    <w:rsid w:val="19204FA6"/>
    <w:rsid w:val="277C68BD"/>
    <w:rsid w:val="2CAB3959"/>
    <w:rsid w:val="35BB78C9"/>
    <w:rsid w:val="4DE93E9E"/>
    <w:rsid w:val="68221E97"/>
    <w:rsid w:val="6C944D6F"/>
    <w:rsid w:val="706B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paragraph" w:customStyle="1" w:styleId="8">
    <w:name w:val="列表段落1"/>
    <w:qFormat/>
    <w:uiPriority w:val="0"/>
    <w:pPr>
      <w:widowControl w:val="0"/>
      <w:ind w:firstLine="420" w:firstLineChars="200"/>
      <w:jc w:val="both"/>
    </w:pPr>
    <w:rPr>
      <w:rFonts w:ascii="Calibri" w:hAnsi="Calibri" w:eastAsia="宋体" w:cs="Times New Roman"/>
      <w:kern w:val="2"/>
      <w:sz w:val="32"/>
      <w:szCs w:val="22"/>
      <w:lang w:val="en-US" w:eastAsia="zh-CN" w:bidi="ar-SA"/>
    </w:rPr>
  </w:style>
  <w:style w:type="character" w:customStyle="1" w:styleId="9">
    <w:name w:val="页眉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528</Words>
  <Characters>3015</Characters>
  <Lines>25</Lines>
  <Paragraphs>7</Paragraphs>
  <TotalTime>1</TotalTime>
  <ScaleCrop>false</ScaleCrop>
  <LinksUpToDate>false</LinksUpToDate>
  <CharactersWithSpaces>3536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2022-01-05T04:00:00Z</dcterms:created>
  <dc:creator>Lulu</dc:creator>
  <cp:lastModifiedBy>Administrator</cp:lastModifiedBy>
  <dcterms:modified xsi:type="dcterms:W3CDTF">2022-01-26T04:20:06Z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DA399A05E51E49E6A10B7BF16319835C</vt:lpwstr>
  </property>
</Properties>
</file>