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right"/>
        <w:rPr>
          <w:rFonts w:ascii="宋体" w:hAnsi="宋体" w:cs="宋体"/>
          <w:color w:val="333333"/>
        </w:rPr>
      </w:pPr>
      <w:r>
        <w:rPr>
          <w:rFonts w:hint="eastAsia" w:ascii="宋体" w:hAnsi="宋体" w:cs="宋体"/>
          <w:color w:val="333333"/>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740" w:lineRule="exact"/>
        <w:jc w:val="center"/>
        <w:textAlignment w:val="auto"/>
        <w:rPr>
          <w:rFonts w:hint="eastAsia" w:ascii="方正小标宋简体" w:hAnsi="宋体" w:eastAsia="方正小标宋简体" w:cs="宋体"/>
          <w:color w:val="333333"/>
          <w:sz w:val="44"/>
          <w:szCs w:val="44"/>
        </w:rPr>
      </w:pPr>
      <w:r>
        <w:rPr>
          <w:rFonts w:hint="eastAsia" w:ascii="方正小标宋简体" w:hAnsi="宋体" w:eastAsia="方正小标宋简体" w:cs="宋体"/>
          <w:color w:val="333333"/>
          <w:sz w:val="44"/>
          <w:szCs w:val="44"/>
          <w:shd w:val="clear" w:color="auto" w:fill="FFFFFF"/>
        </w:rPr>
        <w:t>国家税务总局镇宁布依族苗族自治县税务局</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740" w:lineRule="exact"/>
        <w:jc w:val="center"/>
        <w:textAlignment w:val="auto"/>
        <w:rPr>
          <w:rFonts w:hint="eastAsia" w:ascii="方正小标宋简体" w:hAnsi="宋体" w:eastAsia="方正小标宋简体" w:cs="宋体"/>
          <w:color w:val="333333"/>
          <w:sz w:val="44"/>
          <w:szCs w:val="44"/>
        </w:rPr>
      </w:pPr>
      <w:r>
        <w:rPr>
          <w:rFonts w:hint="eastAsia" w:ascii="方正小标宋简体" w:hAnsi="宋体" w:eastAsia="方正小标宋简体" w:cs="宋体"/>
          <w:color w:val="333333"/>
          <w:sz w:val="44"/>
          <w:szCs w:val="44"/>
          <w:shd w:val="clear" w:color="auto" w:fill="FFFFFF"/>
          <w:lang w:eastAsia="zh-CN"/>
        </w:rPr>
        <w:t>关于</w:t>
      </w:r>
      <w:r>
        <w:rPr>
          <w:rFonts w:hint="eastAsia" w:ascii="方正小标宋简体" w:hAnsi="宋体" w:eastAsia="方正小标宋简体" w:cs="宋体"/>
          <w:color w:val="333333"/>
          <w:sz w:val="44"/>
          <w:szCs w:val="44"/>
          <w:shd w:val="clear" w:color="auto" w:fill="FFFFFF"/>
          <w:lang w:val="en-US" w:eastAsia="zh-CN"/>
        </w:rPr>
        <w:t>2021年度</w:t>
      </w:r>
      <w:r>
        <w:rPr>
          <w:rFonts w:hint="eastAsia" w:ascii="方正小标宋简体" w:hAnsi="宋体" w:eastAsia="方正小标宋简体" w:cs="宋体"/>
          <w:color w:val="333333"/>
          <w:sz w:val="44"/>
          <w:szCs w:val="44"/>
          <w:shd w:val="clear" w:color="auto" w:fill="FFFFFF"/>
        </w:rPr>
        <w:t>政府信息公开工作</w:t>
      </w:r>
      <w:r>
        <w:rPr>
          <w:rFonts w:hint="eastAsia" w:ascii="方正小标宋简体" w:hAnsi="宋体" w:eastAsia="方正小标宋简体" w:cs="宋体"/>
          <w:color w:val="333333"/>
          <w:sz w:val="44"/>
          <w:szCs w:val="44"/>
          <w:shd w:val="clear" w:color="auto" w:fill="FFFFFF"/>
          <w:lang w:eastAsia="zh-CN"/>
        </w:rPr>
        <w:t>情况的</w:t>
      </w:r>
      <w:r>
        <w:rPr>
          <w:rFonts w:hint="eastAsia" w:ascii="方正小标宋简体" w:hAnsi="宋体" w:eastAsia="方正小标宋简体" w:cs="宋体"/>
          <w:color w:val="333333"/>
          <w:sz w:val="44"/>
          <w:szCs w:val="44"/>
          <w:shd w:val="clear" w:color="auto" w:fill="FFFFFF"/>
        </w:rPr>
        <w:t>报告</w:t>
      </w:r>
    </w:p>
    <w:p>
      <w:pPr>
        <w:pStyle w:val="2"/>
        <w:widowControl/>
        <w:shd w:val="clear" w:color="auto" w:fill="FFFFFF"/>
        <w:spacing w:beforeAutospacing="0" w:afterAutospacing="0"/>
        <w:jc w:val="both"/>
        <w:rPr>
          <w:rFonts w:hint="eastAsia" w:ascii="黑体" w:hAnsi="黑体" w:eastAsia="黑体" w:cs="宋体"/>
          <w:color w:val="333333"/>
          <w:sz w:val="32"/>
          <w:szCs w:val="32"/>
          <w:shd w:val="clear" w:color="auto" w:fill="FFFFFF"/>
        </w:rPr>
      </w:pPr>
    </w:p>
    <w:p>
      <w:pPr>
        <w:pStyle w:val="2"/>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firstLine="656"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eastAsia="仿宋_GB2312"/>
          <w:color w:val="000000"/>
          <w:spacing w:val="4"/>
          <w:sz w:val="32"/>
          <w:szCs w:val="32"/>
        </w:rPr>
        <w:t>本报告根据《中华人民共和国政府信息公开条例》要求编制。全文包括总体情况、主动公开、依申请公开、复议诉讼、存在的主要问题和改进措施以及其他</w:t>
      </w:r>
      <w:r>
        <w:rPr>
          <w:rFonts w:hint="eastAsia" w:ascii="仿宋_GB2312" w:eastAsia="仿宋_GB2312"/>
          <w:color w:val="000000"/>
          <w:spacing w:val="4"/>
          <w:sz w:val="32"/>
          <w:szCs w:val="32"/>
          <w:lang w:eastAsia="zh-CN"/>
        </w:rPr>
        <w:t>需要</w:t>
      </w:r>
      <w:r>
        <w:rPr>
          <w:rFonts w:hint="eastAsia" w:ascii="仿宋_GB2312" w:eastAsia="仿宋_GB2312"/>
          <w:color w:val="000000"/>
          <w:spacing w:val="4"/>
          <w:sz w:val="32"/>
          <w:szCs w:val="32"/>
        </w:rPr>
        <w:t>报告</w:t>
      </w:r>
      <w:r>
        <w:rPr>
          <w:rFonts w:hint="eastAsia" w:ascii="仿宋_GB2312" w:eastAsia="仿宋_GB2312"/>
          <w:color w:val="000000"/>
          <w:spacing w:val="4"/>
          <w:sz w:val="32"/>
          <w:szCs w:val="32"/>
          <w:lang w:eastAsia="zh-CN"/>
        </w:rPr>
        <w:t>的事项</w:t>
      </w:r>
      <w:r>
        <w:rPr>
          <w:rFonts w:hint="eastAsia" w:ascii="仿宋_GB2312" w:eastAsia="仿宋_GB2312"/>
          <w:color w:val="000000"/>
          <w:spacing w:val="4"/>
          <w:sz w:val="32"/>
          <w:szCs w:val="32"/>
        </w:rPr>
        <w:t>。报告中所列数据为国家税务总局镇宁布依族苗族自治县税务局的2</w:t>
      </w:r>
      <w:r>
        <w:rPr>
          <w:rFonts w:ascii="仿宋_GB2312" w:eastAsia="仿宋_GB2312"/>
          <w:color w:val="000000"/>
          <w:spacing w:val="4"/>
          <w:sz w:val="32"/>
          <w:szCs w:val="32"/>
        </w:rPr>
        <w:t>0</w:t>
      </w:r>
      <w:r>
        <w:rPr>
          <w:rFonts w:hint="eastAsia" w:ascii="仿宋_GB2312" w:eastAsia="仿宋_GB2312"/>
          <w:color w:val="000000"/>
          <w:spacing w:val="4"/>
          <w:sz w:val="32"/>
          <w:szCs w:val="32"/>
        </w:rPr>
        <w:t>2</w:t>
      </w:r>
      <w:r>
        <w:rPr>
          <w:rFonts w:hint="eastAsia" w:ascii="仿宋_GB2312" w:eastAsia="仿宋_GB2312"/>
          <w:color w:val="000000"/>
          <w:spacing w:val="4"/>
          <w:sz w:val="32"/>
          <w:szCs w:val="32"/>
          <w:lang w:val="en-US" w:eastAsia="zh-CN"/>
        </w:rPr>
        <w:t>1</w:t>
      </w:r>
      <w:r>
        <w:rPr>
          <w:rFonts w:hint="eastAsia" w:ascii="仿宋_GB2312" w:eastAsia="仿宋_GB2312"/>
          <w:color w:val="000000"/>
          <w:spacing w:val="4"/>
          <w:sz w:val="32"/>
          <w:szCs w:val="32"/>
        </w:rPr>
        <w:t>年整年数据，统计期限自202</w:t>
      </w:r>
      <w:r>
        <w:rPr>
          <w:rFonts w:hint="eastAsia" w:ascii="仿宋_GB2312" w:eastAsia="仿宋_GB2312"/>
          <w:color w:val="000000"/>
          <w:spacing w:val="4"/>
          <w:sz w:val="32"/>
          <w:szCs w:val="32"/>
          <w:lang w:val="en-US" w:eastAsia="zh-CN"/>
        </w:rPr>
        <w:t>1</w:t>
      </w:r>
      <w:r>
        <w:rPr>
          <w:rFonts w:hint="eastAsia" w:ascii="仿宋_GB2312" w:eastAsia="仿宋_GB2312"/>
          <w:color w:val="000000"/>
          <w:spacing w:val="4"/>
          <w:sz w:val="32"/>
          <w:szCs w:val="32"/>
        </w:rPr>
        <w:t>年1月1日起至202</w:t>
      </w:r>
      <w:r>
        <w:rPr>
          <w:rFonts w:hint="eastAsia" w:ascii="仿宋_GB2312" w:eastAsia="仿宋_GB2312"/>
          <w:color w:val="000000"/>
          <w:spacing w:val="4"/>
          <w:sz w:val="32"/>
          <w:szCs w:val="32"/>
          <w:lang w:val="en-US" w:eastAsia="zh-CN"/>
        </w:rPr>
        <w:t>1</w:t>
      </w:r>
      <w:r>
        <w:rPr>
          <w:rFonts w:hint="eastAsia" w:ascii="仿宋_GB2312" w:eastAsia="仿宋_GB2312"/>
          <w:color w:val="000000"/>
          <w:spacing w:val="4"/>
          <w:sz w:val="32"/>
          <w:szCs w:val="32"/>
        </w:rPr>
        <w:t>年12月31日止。报告电子版可在</w:t>
      </w:r>
      <w:bookmarkStart w:id="0" w:name="_GoBack"/>
      <w:bookmarkEnd w:id="0"/>
      <w:r>
        <w:rPr>
          <w:rFonts w:hint="eastAsia" w:ascii="仿宋_GB2312" w:eastAsia="仿宋_GB2312"/>
          <w:spacing w:val="4"/>
          <w:sz w:val="32"/>
          <w:szCs w:val="32"/>
        </w:rPr>
        <w:t>国家税务总局贵州省税务局网站（http://guizhou.chinatax.gov.cn/）</w:t>
      </w:r>
      <w:r>
        <w:rPr>
          <w:rFonts w:hint="eastAsia" w:ascii="仿宋_GB2312" w:eastAsia="仿宋_GB2312"/>
          <w:color w:val="000000"/>
          <w:spacing w:val="4"/>
          <w:sz w:val="32"/>
          <w:szCs w:val="32"/>
        </w:rPr>
        <w:t>查阅。如有疑问请致电国家税务总局镇宁布依族苗族自治县税务局（联系电</w:t>
      </w:r>
      <w:r>
        <w:rPr>
          <w:rFonts w:hint="eastAsia" w:ascii="仿宋_GB2312" w:eastAsia="仿宋_GB2312"/>
          <w:spacing w:val="4"/>
          <w:sz w:val="32"/>
          <w:szCs w:val="32"/>
        </w:rPr>
        <w:t>话：0851-36222805），竭诚欢迎您</w:t>
      </w:r>
      <w:r>
        <w:rPr>
          <w:rFonts w:hint="eastAsia" w:ascii="仿宋_GB2312" w:eastAsia="仿宋_GB2312"/>
          <w:color w:val="000000"/>
          <w:spacing w:val="4"/>
          <w:sz w:val="32"/>
          <w:szCs w:val="32"/>
        </w:rPr>
        <w:t>的关注支持和批评监督！</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一、总体情况</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年，国家税务总局镇宁</w:t>
      </w:r>
      <w:r>
        <w:rPr>
          <w:rFonts w:hint="eastAsia" w:ascii="仿宋_GB2312" w:hAnsi="仿宋_GB2312" w:eastAsia="仿宋_GB2312" w:cs="仿宋_GB2312"/>
          <w:sz w:val="32"/>
          <w:szCs w:val="32"/>
          <w:shd w:val="clear" w:color="auto" w:fill="FFFFFF"/>
          <w:lang w:eastAsia="zh-CN"/>
        </w:rPr>
        <w:t>布依族苗族</w:t>
      </w:r>
      <w:r>
        <w:rPr>
          <w:rFonts w:hint="eastAsia" w:ascii="仿宋_GB2312" w:hAnsi="仿宋_GB2312" w:eastAsia="仿宋_GB2312" w:cs="仿宋_GB2312"/>
          <w:sz w:val="32"/>
          <w:szCs w:val="32"/>
          <w:shd w:val="clear" w:color="auto" w:fill="FFFFFF"/>
        </w:rPr>
        <w:t>自治县税务局严格按照</w:t>
      </w:r>
      <w:r>
        <w:rPr>
          <w:rFonts w:hint="eastAsia" w:ascii="仿宋_GB2312" w:hAnsi="仿宋_GB2312" w:eastAsia="仿宋_GB2312" w:cs="仿宋_GB2312"/>
          <w:sz w:val="32"/>
          <w:szCs w:val="32"/>
          <w:shd w:val="clear" w:color="auto" w:fill="FFFFFF"/>
          <w:lang w:eastAsia="zh-CN"/>
        </w:rPr>
        <w:t>中共</w:t>
      </w:r>
      <w:r>
        <w:rPr>
          <w:rFonts w:hint="eastAsia" w:ascii="仿宋_GB2312" w:hAnsi="仿宋_GB2312" w:eastAsia="仿宋_GB2312" w:cs="仿宋_GB2312"/>
          <w:sz w:val="32"/>
          <w:szCs w:val="32"/>
          <w:shd w:val="clear" w:color="auto" w:fill="FFFFFF"/>
        </w:rPr>
        <w:t>镇宁自治县委、县人民政府和安顺市税务局统一部署，加强组织领导，</w:t>
      </w:r>
      <w:r>
        <w:rPr>
          <w:rFonts w:hint="eastAsia" w:ascii="仿宋_GB2312" w:hAnsi="仿宋_GB2312" w:eastAsia="仿宋_GB2312" w:cs="仿宋_GB2312"/>
          <w:sz w:val="32"/>
          <w:szCs w:val="32"/>
          <w:shd w:val="clear" w:color="auto" w:fill="FFFFFF"/>
          <w:lang w:eastAsia="zh-CN"/>
        </w:rPr>
        <w:t>建立健</w:t>
      </w:r>
      <w:r>
        <w:rPr>
          <w:rFonts w:hint="eastAsia" w:ascii="仿宋_GB2312" w:hAnsi="仿宋_GB2312" w:eastAsia="仿宋_GB2312" w:cs="仿宋_GB2312"/>
          <w:sz w:val="32"/>
          <w:szCs w:val="32"/>
          <w:shd w:val="clear" w:color="auto" w:fill="FFFFFF"/>
        </w:rPr>
        <w:t>全工作机制，认真贯彻落实《中华人民共和国政府信息公开条例》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val="0"/>
          <w:sz w:val="32"/>
          <w:szCs w:val="32"/>
          <w:u w:val="none"/>
        </w:rPr>
        <w:t>国家税务总局贵州省税务局202</w:t>
      </w:r>
      <w:r>
        <w:rPr>
          <w:rFonts w:hint="eastAsia" w:ascii="仿宋_GB2312" w:hAnsi="仿宋_GB2312" w:eastAsia="仿宋_GB2312" w:cs="仿宋_GB2312"/>
          <w:b w:val="0"/>
          <w:sz w:val="32"/>
          <w:szCs w:val="32"/>
          <w:u w:val="none"/>
          <w:lang w:val="en-US" w:eastAsia="zh-CN"/>
        </w:rPr>
        <w:t>1</w:t>
      </w:r>
      <w:r>
        <w:rPr>
          <w:rFonts w:hint="eastAsia" w:ascii="仿宋_GB2312" w:hAnsi="仿宋_GB2312" w:eastAsia="仿宋_GB2312" w:cs="仿宋_GB2312"/>
          <w:b w:val="0"/>
          <w:sz w:val="32"/>
          <w:szCs w:val="32"/>
          <w:u w:val="none"/>
        </w:rPr>
        <w:t>年政务公开工作重点任务清单》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严格落实行政执法</w:t>
      </w:r>
      <w:r>
        <w:rPr>
          <w:rFonts w:hint="eastAsia" w:ascii="仿宋_GB2312" w:hAnsi="宋体" w:eastAsia="仿宋_GB2312" w:cs="宋体"/>
          <w:sz w:val="32"/>
          <w:szCs w:val="32"/>
          <w:shd w:val="clear" w:color="auto" w:fill="FFFFFF"/>
        </w:rPr>
        <w:t>公示制度</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及时向社会公开</w:t>
      </w:r>
      <w:r>
        <w:rPr>
          <w:rFonts w:hint="eastAsia" w:ascii="仿宋_GB2312" w:hAnsi="宋体" w:eastAsia="仿宋_GB2312" w:cs="宋体"/>
          <w:sz w:val="32"/>
          <w:szCs w:val="32"/>
          <w:shd w:val="clear" w:color="auto" w:fill="FFFFFF"/>
          <w:lang w:eastAsia="zh-CN"/>
        </w:rPr>
        <w:t>最新税收优惠政策，今年以来出台的各项便民办税缴费新举措，</w:t>
      </w:r>
      <w:r>
        <w:rPr>
          <w:rFonts w:hint="eastAsia" w:ascii="仿宋_GB2312" w:hAnsi="宋体" w:eastAsia="仿宋_GB2312" w:cs="宋体"/>
          <w:sz w:val="32"/>
          <w:szCs w:val="32"/>
          <w:shd w:val="clear" w:color="auto" w:fill="FFFFFF"/>
        </w:rPr>
        <w:t>最大限度服务好纳税人和缴费人，接受社会各界监督。</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sz w:val="32"/>
          <w:szCs w:val="32"/>
          <w:shd w:val="clear" w:color="auto" w:fill="FFFFFF"/>
        </w:rPr>
      </w:pPr>
      <w:r>
        <w:rPr>
          <w:rFonts w:hint="eastAsia" w:ascii="楷体_GB2312" w:hAnsi="宋体" w:eastAsia="楷体_GB2312" w:cs="宋体"/>
          <w:sz w:val="32"/>
          <w:szCs w:val="32"/>
        </w:rPr>
        <w:t>（一）完善制度规范，提升公开质效。</w:t>
      </w:r>
      <w:r>
        <w:rPr>
          <w:rFonts w:hint="eastAsia" w:ascii="仿宋_GB2312" w:hAnsi="宋体" w:eastAsia="仿宋_GB2312" w:cs="宋体"/>
          <w:sz w:val="32"/>
          <w:szCs w:val="32"/>
          <w:shd w:val="clear" w:color="auto" w:fill="FFFFFF"/>
        </w:rPr>
        <w:t>一是认真贯彻政府信息公开条例</w:t>
      </w:r>
      <w:r>
        <w:rPr>
          <w:rFonts w:hint="eastAsia" w:ascii="仿宋_GB2312" w:hAnsi="宋体" w:eastAsia="仿宋_GB2312" w:cs="宋体"/>
          <w:sz w:val="32"/>
          <w:szCs w:val="32"/>
          <w:shd w:val="clear" w:color="auto" w:fill="FFFFFF"/>
          <w:lang w:eastAsia="zh-CN"/>
        </w:rPr>
        <w:t>，持续开展</w:t>
      </w:r>
      <w:r>
        <w:rPr>
          <w:rFonts w:hint="eastAsia" w:ascii="仿宋_GB2312" w:hAnsi="宋体" w:eastAsia="仿宋_GB2312" w:cs="宋体"/>
          <w:sz w:val="32"/>
          <w:szCs w:val="32"/>
          <w:shd w:val="clear" w:color="auto" w:fill="FFFFFF"/>
        </w:rPr>
        <w:t>对条例的宣传学习，准确把握条例各项规定，同时健全公开机制、完善工作措施，确保公开数量有所提升，公开质量和效率有明显优化。二是加强组织领导。</w:t>
      </w:r>
      <w:r>
        <w:rPr>
          <w:rFonts w:hint="eastAsia" w:ascii="仿宋_GB2312" w:hAnsi="宋体" w:eastAsia="仿宋_GB2312" w:cs="宋体"/>
          <w:sz w:val="32"/>
          <w:szCs w:val="32"/>
          <w:shd w:val="clear" w:color="auto" w:fill="FFFFFF"/>
          <w:lang w:eastAsia="zh-CN"/>
        </w:rPr>
        <w:t>按照深化</w:t>
      </w:r>
      <w:r>
        <w:rPr>
          <w:rFonts w:hint="eastAsia" w:ascii="仿宋_GB2312" w:hAnsi="宋体" w:eastAsia="仿宋_GB2312" w:cs="宋体"/>
          <w:sz w:val="32"/>
          <w:szCs w:val="32"/>
          <w:shd w:val="clear" w:color="auto" w:fill="FFFFFF"/>
        </w:rPr>
        <w:t>税收征管改革</w:t>
      </w:r>
      <w:r>
        <w:rPr>
          <w:rFonts w:hint="eastAsia" w:ascii="仿宋_GB2312" w:hAnsi="宋体" w:eastAsia="仿宋_GB2312" w:cs="宋体"/>
          <w:sz w:val="32"/>
          <w:szCs w:val="32"/>
          <w:shd w:val="clear" w:color="auto" w:fill="FFFFFF"/>
          <w:lang w:eastAsia="zh-CN"/>
        </w:rPr>
        <w:t>工作要求</w:t>
      </w:r>
      <w:r>
        <w:rPr>
          <w:rFonts w:hint="eastAsia" w:ascii="仿宋_GB2312" w:hAnsi="宋体" w:eastAsia="仿宋_GB2312" w:cs="宋体"/>
          <w:sz w:val="32"/>
          <w:szCs w:val="32"/>
          <w:shd w:val="clear" w:color="auto" w:fill="FFFFFF"/>
        </w:rPr>
        <w:t>，及时调整</w:t>
      </w:r>
      <w:r>
        <w:rPr>
          <w:rFonts w:hint="eastAsia" w:ascii="仿宋_GB2312" w:hAnsi="宋体" w:eastAsia="仿宋_GB2312" w:cs="宋体"/>
          <w:sz w:val="32"/>
          <w:szCs w:val="32"/>
          <w:shd w:val="clear" w:color="auto" w:fill="FFFFFF"/>
          <w:lang w:eastAsia="zh-CN"/>
        </w:rPr>
        <w:t>镇宁自治县税务</w:t>
      </w:r>
      <w:r>
        <w:rPr>
          <w:rFonts w:hint="eastAsia" w:ascii="仿宋_GB2312" w:hAnsi="宋体" w:eastAsia="仿宋_GB2312" w:cs="宋体"/>
          <w:sz w:val="32"/>
          <w:szCs w:val="32"/>
          <w:shd w:val="clear" w:color="auto" w:fill="FFFFFF"/>
        </w:rPr>
        <w:t>局政府信息公开和政务公开工作领导小组，按照条例统筹协调编制政府信息公开指南和目录，建立健全各股室及各分局信息公开工作制度，明确责任人和信息员，指定专人负责信息公开日常工作。</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sz w:val="32"/>
          <w:szCs w:val="32"/>
          <w:shd w:val="clear" w:color="auto" w:fill="FFFFFF"/>
        </w:rPr>
      </w:pPr>
      <w:r>
        <w:rPr>
          <w:rFonts w:hint="eastAsia" w:ascii="楷体_GB2312" w:hAnsi="宋体" w:eastAsia="楷体_GB2312" w:cs="宋体"/>
          <w:sz w:val="32"/>
          <w:szCs w:val="32"/>
        </w:rPr>
        <w:t>（二）打造多形式信息公开渠道，主动公开政府信息。</w:t>
      </w:r>
      <w:r>
        <w:rPr>
          <w:rFonts w:hint="eastAsia" w:ascii="仿宋_GB2312" w:hAnsi="宋体" w:eastAsia="仿宋_GB2312" w:cs="宋体"/>
          <w:sz w:val="32"/>
          <w:szCs w:val="32"/>
          <w:shd w:val="clear" w:color="auto" w:fill="FFFFFF"/>
        </w:rPr>
        <w:t>一是利用办公场所公开。通过在县局办公楼设立政务公开专栏，公开单位职责及各部门、岗位工作职责；通过办税服务厅</w:t>
      </w:r>
      <w:r>
        <w:rPr>
          <w:rFonts w:hint="eastAsia" w:ascii="仿宋_GB2312" w:hAnsi="宋体" w:eastAsia="仿宋_GB2312" w:cs="宋体"/>
          <w:sz w:val="32"/>
          <w:szCs w:val="32"/>
          <w:shd w:val="clear" w:color="auto" w:fill="FFFFFF"/>
          <w:lang w:eastAsia="zh-CN"/>
        </w:rPr>
        <w:t>广告机</w:t>
      </w:r>
      <w:r>
        <w:rPr>
          <w:rFonts w:hint="eastAsia" w:ascii="仿宋_GB2312" w:hAnsi="宋体" w:eastAsia="仿宋_GB2312" w:cs="宋体"/>
          <w:sz w:val="32"/>
          <w:szCs w:val="32"/>
          <w:shd w:val="clear" w:color="auto" w:fill="FFFFFF"/>
        </w:rPr>
        <w:t>、LED公告屏幕和触摸屏公告办税</w:t>
      </w:r>
      <w:r>
        <w:rPr>
          <w:rFonts w:hint="eastAsia" w:ascii="仿宋_GB2312" w:hAnsi="宋体" w:eastAsia="仿宋_GB2312" w:cs="宋体"/>
          <w:sz w:val="32"/>
          <w:szCs w:val="32"/>
          <w:shd w:val="clear" w:color="auto" w:fill="FFFFFF"/>
          <w:lang w:eastAsia="zh-CN"/>
        </w:rPr>
        <w:t>事项清单、办税</w:t>
      </w:r>
      <w:r>
        <w:rPr>
          <w:rFonts w:hint="eastAsia" w:ascii="仿宋_GB2312" w:hAnsi="宋体" w:eastAsia="仿宋_GB2312" w:cs="宋体"/>
          <w:sz w:val="32"/>
          <w:szCs w:val="32"/>
          <w:shd w:val="clear" w:color="auto" w:fill="FFFFFF"/>
        </w:rPr>
        <w:t>指南、减税降费相关政策、信用等级评定、行政处罚、行政许可等内容。二是印制税收宣传资料、手册公开。例如印制《</w:t>
      </w:r>
      <w:r>
        <w:rPr>
          <w:rFonts w:hint="eastAsia" w:ascii="仿宋_GB2312" w:hAnsi="宋体" w:eastAsia="仿宋_GB2312" w:cs="宋体"/>
          <w:sz w:val="32"/>
          <w:szCs w:val="32"/>
          <w:shd w:val="clear" w:color="auto" w:fill="FFFFFF"/>
          <w:lang w:eastAsia="zh-CN"/>
        </w:rPr>
        <w:t>部分延长税收优惠政策指引</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eastAsia="zh-CN"/>
        </w:rPr>
        <w:t>“稳定和扩大就业”主要涉税政策一本通</w:t>
      </w:r>
      <w:r>
        <w:rPr>
          <w:rFonts w:hint="eastAsia" w:ascii="仿宋_GB2312" w:hAnsi="宋体" w:eastAsia="仿宋_GB2312" w:cs="宋体"/>
          <w:sz w:val="32"/>
          <w:szCs w:val="32"/>
          <w:shd w:val="clear" w:color="auto" w:fill="FFFFFF"/>
        </w:rPr>
        <w:t>》等宣传资料，一方面放置办税服务厅资料架供纳税人取阅，另一方面通过税收宣传活动和税务人员入户等形式发放到纳税人手中。三是利用电视媒体等公开。通过人民网贵州频道、多彩贵州网、《中国税务报》、安顺频道、《安顺日报》、镇宁电视台和各乡镇、广场、公园LED宣传大屏幕广泛告知各项税收优惠政策、信息，让纳税人、缴费人第一时间知晓并应享尽享税收优惠。</w:t>
      </w:r>
      <w:r>
        <w:rPr>
          <w:rFonts w:hint="eastAsia" w:ascii="仿宋_GB2312" w:hAnsi="宋体" w:eastAsia="仿宋_GB2312" w:cs="宋体"/>
          <w:sz w:val="32"/>
          <w:szCs w:val="32"/>
          <w:shd w:val="clear" w:color="auto" w:fill="FFFFFF"/>
          <w:lang w:eastAsia="zh-CN"/>
        </w:rPr>
        <w:t>四是依托税企互动平台，在优惠政策和便民办税新举措出台后，根据企业规模、优惠政策适用范围等主动筛选符合条件的企业，精准推送税收优惠政策。五</w:t>
      </w:r>
      <w:r>
        <w:rPr>
          <w:rFonts w:hint="eastAsia" w:ascii="仿宋_GB2312" w:hAnsi="宋体" w:eastAsia="仿宋_GB2312" w:cs="宋体"/>
          <w:sz w:val="32"/>
          <w:szCs w:val="32"/>
          <w:shd w:val="clear" w:color="auto" w:fill="FFFFFF"/>
        </w:rPr>
        <w:t>是通过贵州政务服务网公开。在</w:t>
      </w:r>
      <w:r>
        <w:rPr>
          <w:rFonts w:hint="eastAsia" w:ascii="仿宋_GB2312" w:hAnsi="宋体" w:eastAsia="仿宋_GB2312" w:cs="宋体"/>
          <w:sz w:val="32"/>
          <w:szCs w:val="32"/>
          <w:shd w:val="clear" w:color="auto" w:fill="FFFFFF"/>
          <w:lang w:eastAsia="zh-CN"/>
        </w:rPr>
        <w:t>一系列便民办税新举措</w:t>
      </w:r>
      <w:r>
        <w:rPr>
          <w:rFonts w:hint="eastAsia" w:ascii="仿宋_GB2312" w:hAnsi="宋体" w:eastAsia="仿宋_GB2312" w:cs="宋体"/>
          <w:sz w:val="32"/>
          <w:szCs w:val="32"/>
          <w:shd w:val="clear" w:color="auto" w:fill="FFFFFF"/>
        </w:rPr>
        <w:t>出台并实施后，及时在贵州政务服务网梳理更新涉税业务办理事项及办理指南、办理流程，极大方便了纳税人网办涉税业务，实现让纳税人“多走网路，不走或少走马路”，提高纳税人办税满意度和获得感。</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sz w:val="32"/>
          <w:szCs w:val="32"/>
          <w:shd w:val="clear" w:color="auto" w:fill="FFFFFF"/>
        </w:rPr>
      </w:pP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24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二、主动公开政府信息情况</w:t>
      </w:r>
    </w:p>
    <w:tbl>
      <w:tblPr>
        <w:tblStyle w:val="3"/>
        <w:tblW w:w="8479" w:type="dxa"/>
        <w:jc w:val="center"/>
        <w:tblLayout w:type="fixed"/>
        <w:tblCellMar>
          <w:top w:w="0" w:type="dxa"/>
          <w:left w:w="0" w:type="dxa"/>
          <w:bottom w:w="0" w:type="dxa"/>
          <w:right w:w="0" w:type="dxa"/>
        </w:tblCellMar>
      </w:tblPr>
      <w:tblGrid>
        <w:gridCol w:w="3452"/>
        <w:gridCol w:w="1597"/>
        <w:gridCol w:w="1549"/>
        <w:gridCol w:w="1881"/>
      </w:tblGrid>
      <w:tr>
        <w:tblPrEx>
          <w:tblCellMar>
            <w:top w:w="0" w:type="dxa"/>
            <w:left w:w="0" w:type="dxa"/>
            <w:bottom w:w="0" w:type="dxa"/>
            <w:right w:w="0" w:type="dxa"/>
          </w:tblCellMar>
        </w:tblPrEx>
        <w:trPr>
          <w:trHeight w:val="495" w:hRule="atLeast"/>
          <w:jc w:val="center"/>
        </w:trPr>
        <w:tc>
          <w:tcPr>
            <w:tcW w:w="8479"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882"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信息内容</w:t>
            </w:r>
          </w:p>
        </w:tc>
        <w:tc>
          <w:tcPr>
            <w:tcW w:w="1597"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eastAsia="宋体"/>
                <w:lang w:eastAsia="zh-CN"/>
              </w:rPr>
            </w:pPr>
            <w:r>
              <w:rPr>
                <w:rFonts w:hint="eastAsia"/>
                <w:lang w:eastAsia="zh-CN"/>
              </w:rPr>
              <w:t>本年制发件数</w:t>
            </w:r>
          </w:p>
        </w:tc>
        <w:tc>
          <w:tcPr>
            <w:tcW w:w="1549"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eastAsia="宋体"/>
                <w:lang w:eastAsia="zh-CN"/>
              </w:rPr>
            </w:pPr>
            <w:r>
              <w:rPr>
                <w:rFonts w:hint="eastAsia" w:ascii="宋体" w:hAnsi="宋体" w:cs="宋体"/>
                <w:color w:val="000000"/>
                <w:kern w:val="0"/>
                <w:sz w:val="20"/>
                <w:szCs w:val="20"/>
                <w:lang w:eastAsia="zh-CN" w:bidi="ar"/>
              </w:rPr>
              <w:t>本年废止件数</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eastAsia="宋体"/>
                <w:lang w:eastAsia="zh-CN"/>
              </w:rPr>
            </w:pPr>
            <w:r>
              <w:rPr>
                <w:rFonts w:hint="eastAsia" w:ascii="宋体" w:hAnsi="宋体" w:cs="宋体"/>
                <w:color w:val="000000"/>
                <w:kern w:val="0"/>
                <w:sz w:val="20"/>
                <w:szCs w:val="20"/>
                <w:lang w:eastAsia="zh-CN" w:bidi="ar"/>
              </w:rPr>
              <w:t>现行有效件数</w:t>
            </w:r>
          </w:p>
        </w:tc>
      </w:tr>
      <w:tr>
        <w:tblPrEx>
          <w:tblCellMar>
            <w:top w:w="0" w:type="dxa"/>
            <w:left w:w="0" w:type="dxa"/>
            <w:bottom w:w="0" w:type="dxa"/>
            <w:right w:w="0" w:type="dxa"/>
          </w:tblCellMar>
        </w:tblPrEx>
        <w:trPr>
          <w:trHeight w:val="523"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规章</w:t>
            </w:r>
          </w:p>
        </w:tc>
        <w:tc>
          <w:tcPr>
            <w:tcW w:w="159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　　0</w:t>
            </w:r>
          </w:p>
        </w:tc>
        <w:tc>
          <w:tcPr>
            <w:tcW w:w="15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　0</w:t>
            </w:r>
          </w:p>
        </w:tc>
      </w:tr>
      <w:tr>
        <w:tblPrEx>
          <w:tblCellMar>
            <w:top w:w="0" w:type="dxa"/>
            <w:left w:w="0" w:type="dxa"/>
            <w:bottom w:w="0" w:type="dxa"/>
            <w:right w:w="0" w:type="dxa"/>
          </w:tblCellMar>
        </w:tblPrEx>
        <w:trPr>
          <w:trHeight w:val="471"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eastAsia="zh-CN" w:bidi="ar"/>
              </w:rPr>
              <w:t>行政</w:t>
            </w:r>
            <w:r>
              <w:rPr>
                <w:rFonts w:hint="eastAsia" w:ascii="宋体" w:hAnsi="宋体" w:cs="宋体"/>
                <w:color w:val="000000"/>
                <w:kern w:val="0"/>
                <w:sz w:val="20"/>
                <w:szCs w:val="20"/>
                <w:lang w:bidi="ar"/>
              </w:rPr>
              <w:t>规范性文件</w:t>
            </w:r>
          </w:p>
        </w:tc>
        <w:tc>
          <w:tcPr>
            <w:tcW w:w="159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　　0</w:t>
            </w:r>
          </w:p>
        </w:tc>
        <w:tc>
          <w:tcPr>
            <w:tcW w:w="1549"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　0</w:t>
            </w:r>
          </w:p>
        </w:tc>
      </w:tr>
      <w:tr>
        <w:tblPrEx>
          <w:tblCellMar>
            <w:top w:w="0" w:type="dxa"/>
            <w:left w:w="0" w:type="dxa"/>
            <w:bottom w:w="0" w:type="dxa"/>
            <w:right w:w="0" w:type="dxa"/>
          </w:tblCellMar>
        </w:tblPrEx>
        <w:trPr>
          <w:trHeight w:val="480" w:hRule="atLeast"/>
          <w:jc w:val="center"/>
        </w:trPr>
        <w:tc>
          <w:tcPr>
            <w:tcW w:w="847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634"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both"/>
              <w:textAlignment w:val="auto"/>
            </w:pPr>
            <w:r>
              <w:rPr>
                <w:rFonts w:hint="eastAsia" w:ascii="宋体" w:hAnsi="宋体" w:cs="宋体"/>
                <w:color w:val="000000"/>
                <w:kern w:val="0"/>
                <w:sz w:val="20"/>
                <w:szCs w:val="20"/>
                <w:lang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eastAsia="zh-CN" w:bidi="ar"/>
              </w:rPr>
              <w:t>本年</w:t>
            </w:r>
            <w:r>
              <w:rPr>
                <w:rFonts w:hint="eastAsia" w:ascii="宋体" w:hAnsi="宋体" w:cs="宋体"/>
                <w:color w:val="000000"/>
                <w:kern w:val="0"/>
                <w:sz w:val="20"/>
                <w:szCs w:val="20"/>
                <w:lang w:bidi="ar"/>
              </w:rPr>
              <w:t>处理决定数量</w:t>
            </w:r>
          </w:p>
        </w:tc>
      </w:tr>
      <w:tr>
        <w:tblPrEx>
          <w:tblCellMar>
            <w:top w:w="0" w:type="dxa"/>
            <w:left w:w="0" w:type="dxa"/>
            <w:bottom w:w="0" w:type="dxa"/>
            <w:right w:w="0" w:type="dxa"/>
          </w:tblCellMar>
        </w:tblPrEx>
        <w:trPr>
          <w:trHeight w:val="528"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行政许可</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eastAsia="宋体"/>
                <w:lang w:val="en-US" w:eastAsia="zh-CN"/>
              </w:rPr>
            </w:pPr>
            <w:r>
              <w:rPr>
                <w:rFonts w:hint="eastAsia" w:ascii="宋体" w:hAnsi="宋体" w:cs="宋体"/>
                <w:kern w:val="0"/>
                <w:sz w:val="20"/>
                <w:szCs w:val="20"/>
                <w:lang w:val="en-US" w:eastAsia="zh-CN" w:bidi="ar"/>
              </w:rPr>
              <w:t>350</w:t>
            </w:r>
          </w:p>
        </w:tc>
      </w:tr>
      <w:tr>
        <w:tblPrEx>
          <w:tblCellMar>
            <w:top w:w="0" w:type="dxa"/>
            <w:left w:w="0" w:type="dxa"/>
            <w:bottom w:w="0" w:type="dxa"/>
            <w:right w:w="0" w:type="dxa"/>
          </w:tblCellMar>
        </w:tblPrEx>
        <w:trPr>
          <w:trHeight w:val="406" w:hRule="atLeast"/>
          <w:jc w:val="center"/>
        </w:trPr>
        <w:tc>
          <w:tcPr>
            <w:tcW w:w="847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634"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eastAsia="zh-CN" w:bidi="ar"/>
              </w:rPr>
              <w:t>本年</w:t>
            </w:r>
            <w:r>
              <w:rPr>
                <w:rFonts w:hint="eastAsia" w:ascii="宋体" w:hAnsi="宋体" w:cs="宋体"/>
                <w:color w:val="000000"/>
                <w:kern w:val="0"/>
                <w:sz w:val="20"/>
                <w:szCs w:val="20"/>
                <w:lang w:bidi="ar"/>
              </w:rPr>
              <w:t>处理决定数量</w:t>
            </w:r>
          </w:p>
        </w:tc>
      </w:tr>
      <w:tr>
        <w:tblPrEx>
          <w:tblCellMar>
            <w:top w:w="0" w:type="dxa"/>
            <w:left w:w="0" w:type="dxa"/>
            <w:bottom w:w="0" w:type="dxa"/>
            <w:right w:w="0" w:type="dxa"/>
          </w:tblCellMar>
        </w:tblPrEx>
        <w:trPr>
          <w:trHeight w:val="430"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rPr>
                <w:b w:val="0"/>
                <w:bCs w:val="0"/>
              </w:rPr>
            </w:pPr>
            <w:r>
              <w:rPr>
                <w:rFonts w:hint="eastAsia" w:ascii="宋体" w:hAnsi="宋体" w:cs="宋体"/>
                <w:b w:val="0"/>
                <w:bCs w:val="0"/>
                <w:kern w:val="0"/>
                <w:sz w:val="20"/>
                <w:szCs w:val="20"/>
                <w:lang w:bidi="ar"/>
              </w:rPr>
              <w:t>行政处罚</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eastAsia="宋体"/>
                <w:lang w:val="en-US" w:eastAsia="zh-CN"/>
              </w:rPr>
            </w:pPr>
            <w:r>
              <w:rPr>
                <w:rFonts w:hint="eastAsia"/>
                <w:lang w:val="en-US" w:eastAsia="zh-CN"/>
              </w:rPr>
              <w:t>353</w:t>
            </w:r>
          </w:p>
        </w:tc>
      </w:tr>
      <w:tr>
        <w:tblPrEx>
          <w:tblCellMar>
            <w:top w:w="0" w:type="dxa"/>
            <w:left w:w="0" w:type="dxa"/>
            <w:bottom w:w="0" w:type="dxa"/>
            <w:right w:w="0" w:type="dxa"/>
          </w:tblCellMar>
        </w:tblPrEx>
        <w:trPr>
          <w:trHeight w:val="409"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kern w:val="0"/>
                <w:sz w:val="20"/>
                <w:szCs w:val="20"/>
                <w:lang w:bidi="ar"/>
              </w:rPr>
              <w:t>行政强制</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474" w:hRule="atLeast"/>
          <w:jc w:val="center"/>
        </w:trPr>
        <w:tc>
          <w:tcPr>
            <w:tcW w:w="8479"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270"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信息内容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eastAsia="宋体"/>
                <w:lang w:eastAsia="zh-CN"/>
              </w:rPr>
            </w:pPr>
            <w:r>
              <w:rPr>
                <w:rFonts w:hint="eastAsia"/>
                <w:lang w:eastAsia="zh-CN"/>
              </w:rPr>
              <w:t>本年收费金额（单位：万元）</w:t>
            </w:r>
          </w:p>
        </w:tc>
      </w:tr>
      <w:tr>
        <w:tblPrEx>
          <w:tblCellMar>
            <w:top w:w="0" w:type="dxa"/>
            <w:left w:w="0" w:type="dxa"/>
            <w:bottom w:w="0" w:type="dxa"/>
            <w:right w:w="0" w:type="dxa"/>
          </w:tblCellMar>
        </w:tblPrEx>
        <w:trPr>
          <w:trHeight w:val="551" w:hRule="atLeast"/>
          <w:jc w:val="center"/>
        </w:trPr>
        <w:tc>
          <w:tcPr>
            <w:tcW w:w="34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left"/>
              <w:textAlignment w:val="auto"/>
            </w:pPr>
            <w:r>
              <w:rPr>
                <w:rFonts w:hint="eastAsia" w:ascii="宋体" w:hAnsi="宋体" w:cs="宋体"/>
                <w:color w:val="000000"/>
                <w:kern w:val="0"/>
                <w:sz w:val="20"/>
                <w:szCs w:val="20"/>
                <w:lang w:bidi="ar"/>
              </w:rPr>
              <w:t>行政事业性收费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0</w:t>
            </w:r>
          </w:p>
        </w:tc>
      </w:tr>
    </w:tbl>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ascii="宋体" w:hAnsi="宋体" w:cs="宋体"/>
          <w:color w:val="333333"/>
        </w:rPr>
      </w:pP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240" w:afterAutospacing="0" w:line="560" w:lineRule="exact"/>
        <w:jc w:val="both"/>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shd w:val="clear" w:color="auto" w:fill="FFFFFF"/>
        </w:rPr>
        <w:t>三、收到和处理政府信息公开申请情况</w:t>
      </w:r>
    </w:p>
    <w:tbl>
      <w:tblPr>
        <w:tblStyle w:val="3"/>
        <w:tblW w:w="8782" w:type="dxa"/>
        <w:jc w:val="center"/>
        <w:tblLayout w:type="fixed"/>
        <w:tblCellMar>
          <w:top w:w="0" w:type="dxa"/>
          <w:left w:w="0" w:type="dxa"/>
          <w:bottom w:w="0" w:type="dxa"/>
          <w:right w:w="0" w:type="dxa"/>
        </w:tblCellMar>
      </w:tblPr>
      <w:tblGrid>
        <w:gridCol w:w="686"/>
        <w:gridCol w:w="743"/>
        <w:gridCol w:w="2000"/>
        <w:gridCol w:w="567"/>
        <w:gridCol w:w="637"/>
        <w:gridCol w:w="708"/>
        <w:gridCol w:w="851"/>
        <w:gridCol w:w="992"/>
        <w:gridCol w:w="923"/>
        <w:gridCol w:w="675"/>
      </w:tblGrid>
      <w:tr>
        <w:tblPrEx>
          <w:tblCellMar>
            <w:top w:w="0" w:type="dxa"/>
            <w:left w:w="0" w:type="dxa"/>
            <w:bottom w:w="0" w:type="dxa"/>
            <w:right w:w="0" w:type="dxa"/>
          </w:tblCellMar>
        </w:tblPrEx>
        <w:trPr>
          <w:jc w:val="center"/>
        </w:trPr>
        <w:tc>
          <w:tcPr>
            <w:tcW w:w="3429"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（本列数据的勾稽关系为：第一项加第二项之和，等于第三项加第四项之和）</w:t>
            </w:r>
          </w:p>
        </w:tc>
        <w:tc>
          <w:tcPr>
            <w:tcW w:w="5353"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申请人情况</w:t>
            </w:r>
          </w:p>
        </w:tc>
      </w:tr>
      <w:tr>
        <w:tblPrEx>
          <w:tblCellMar>
            <w:top w:w="0" w:type="dxa"/>
            <w:left w:w="0" w:type="dxa"/>
            <w:bottom w:w="0" w:type="dxa"/>
            <w:right w:w="0" w:type="dxa"/>
          </w:tblCellMar>
        </w:tblPrEx>
        <w:trPr>
          <w:jc w:val="center"/>
        </w:trPr>
        <w:tc>
          <w:tcPr>
            <w:tcW w:w="3429"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56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自然人</w:t>
            </w:r>
          </w:p>
        </w:tc>
        <w:tc>
          <w:tcPr>
            <w:tcW w:w="411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法人或其他组织</w:t>
            </w:r>
          </w:p>
        </w:tc>
        <w:tc>
          <w:tcPr>
            <w:tcW w:w="67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总计</w:t>
            </w:r>
          </w:p>
        </w:tc>
      </w:tr>
      <w:tr>
        <w:tblPrEx>
          <w:tblCellMar>
            <w:top w:w="0" w:type="dxa"/>
            <w:left w:w="0" w:type="dxa"/>
            <w:bottom w:w="0" w:type="dxa"/>
            <w:right w:w="0" w:type="dxa"/>
          </w:tblCellMar>
        </w:tblPrEx>
        <w:trPr>
          <w:jc w:val="center"/>
        </w:trPr>
        <w:tc>
          <w:tcPr>
            <w:tcW w:w="3429"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567"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商业企业</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科研机构</w:t>
            </w:r>
          </w:p>
        </w:tc>
        <w:tc>
          <w:tcPr>
            <w:tcW w:w="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社会公益组织</w:t>
            </w:r>
          </w:p>
        </w:tc>
        <w:tc>
          <w:tcPr>
            <w:tcW w:w="9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法律服务机构</w:t>
            </w:r>
          </w:p>
        </w:tc>
        <w:tc>
          <w:tcPr>
            <w:tcW w:w="9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其他</w:t>
            </w:r>
          </w:p>
        </w:tc>
        <w:tc>
          <w:tcPr>
            <w:tcW w:w="675" w:type="dxa"/>
            <w:vMerge w:val="continue"/>
            <w:tcBorders>
              <w:top w:val="single" w:color="auto" w:sz="8" w:space="0"/>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r>
      <w:tr>
        <w:tblPrEx>
          <w:tblCellMar>
            <w:top w:w="0" w:type="dxa"/>
            <w:left w:w="0" w:type="dxa"/>
            <w:bottom w:w="0" w:type="dxa"/>
            <w:right w:w="0" w:type="dxa"/>
          </w:tblCellMar>
        </w:tblPrEx>
        <w:trPr>
          <w:jc w:val="center"/>
        </w:trPr>
        <w:tc>
          <w:tcPr>
            <w:tcW w:w="3429" w:type="dxa"/>
            <w:gridSpan w:val="3"/>
            <w:tcBorders>
              <w:top w:val="nil"/>
              <w:left w:val="single" w:color="auto" w:sz="8" w:space="0"/>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一、本年新收政府信息公开申请数量</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3429" w:type="dxa"/>
            <w:gridSpan w:val="3"/>
            <w:tcBorders>
              <w:top w:val="nil"/>
              <w:left w:val="single" w:color="auto" w:sz="8" w:space="0"/>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二、上年结转政府信息公开申请数量</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restart"/>
            <w:tcBorders>
              <w:top w:val="nil"/>
              <w:left w:val="single" w:color="auto" w:sz="8" w:space="0"/>
              <w:right w:val="single" w:color="auto" w:sz="8" w:space="0"/>
            </w:tcBorders>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三、本年度办理结果</w:t>
            </w:r>
          </w:p>
        </w:tc>
        <w:tc>
          <w:tcPr>
            <w:tcW w:w="2743" w:type="dxa"/>
            <w:gridSpan w:val="2"/>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（一）予以公开</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743" w:type="dxa"/>
            <w:gridSpan w:val="2"/>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（二）部分公开（区分处理的，只计这一情形，不计其他情形）</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（三）不予公开</w:t>
            </w: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1.属于国家秘密</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2.其他法律行政法规禁止公开</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3.危及“三安全一稳定”</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4.保护第三方合法权益</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5.属于三类内部事务信息</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6.属于四类过程性信息</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7.属于行政执法案卷</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8.属于行政查询事项</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（四）无法提供</w:t>
            </w: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1.本机关不掌握相关政府信息</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2.没有现成信息需要另行制作</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3.补正后申请内容仍不明确</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（五）不予处理</w:t>
            </w: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1.信访举报投诉类申请</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2.重复申请</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3.要求提供公开出版物</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4.无正当理由大量反复申请</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0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5.要求行政机关确认或重新出具已获取信息</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trHeight w:val="105" w:hRule="atLeast"/>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restart"/>
            <w:tcBorders>
              <w:top w:val="nil"/>
              <w:left w:val="nil"/>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（六）其他处理</w:t>
            </w:r>
          </w:p>
        </w:tc>
        <w:tc>
          <w:tcPr>
            <w:tcW w:w="2000" w:type="dxa"/>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1.申请人无正当理由逾期不补正，行政机关不在处理其政府信息公开申请</w:t>
            </w:r>
          </w:p>
        </w:tc>
        <w:tc>
          <w:tcPr>
            <w:tcW w:w="567" w:type="dxa"/>
            <w:tcBorders>
              <w:top w:val="single" w:color="auto" w:sz="8" w:space="0"/>
              <w:left w:val="nil"/>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trHeight w:val="105" w:hRule="atLeast"/>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left w:val="nil"/>
              <w:right w:val="single" w:color="auto" w:sz="8" w:space="0"/>
            </w:tcBorders>
            <w:noWrap w:val="0"/>
            <w:vAlign w:val="center"/>
          </w:tcPr>
          <w:p>
            <w:pPr>
              <w:spacing w:line="320" w:lineRule="exact"/>
              <w:rPr>
                <w:rFonts w:hint="eastAsia" w:ascii="仿宋_GB2312" w:hAnsi="仿宋_GB2312" w:eastAsia="仿宋_GB2312" w:cs="仿宋_GB2312"/>
                <w:sz w:val="20"/>
                <w:szCs w:val="20"/>
              </w:rPr>
            </w:pPr>
          </w:p>
        </w:tc>
        <w:tc>
          <w:tcPr>
            <w:tcW w:w="2000" w:type="dxa"/>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2.申请人逾期未按收费通知要求缴纳费用、行政机关不再处理其政府信息公开申请</w:t>
            </w:r>
          </w:p>
        </w:tc>
        <w:tc>
          <w:tcPr>
            <w:tcW w:w="56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7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9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67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trHeight w:val="779" w:hRule="atLeast"/>
          <w:jc w:val="center"/>
        </w:trPr>
        <w:tc>
          <w:tcPr>
            <w:tcW w:w="686" w:type="dxa"/>
            <w:vMerge w:val="continue"/>
            <w:tcBorders>
              <w:left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743" w:type="dxa"/>
            <w:vMerge w:val="continue"/>
            <w:tcBorders>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0"/>
                <w:szCs w:val="20"/>
              </w:rPr>
            </w:pPr>
          </w:p>
        </w:tc>
        <w:tc>
          <w:tcPr>
            <w:tcW w:w="2000" w:type="dxa"/>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3.其他</w:t>
            </w:r>
          </w:p>
        </w:tc>
        <w:tc>
          <w:tcPr>
            <w:tcW w:w="567" w:type="dxa"/>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6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7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9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67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686" w:type="dxa"/>
            <w:vMerge w:val="continue"/>
            <w:tcBorders>
              <w:left w:val="single" w:color="auto" w:sz="8" w:space="0"/>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4"/>
              </w:rPr>
            </w:pPr>
          </w:p>
        </w:tc>
        <w:tc>
          <w:tcPr>
            <w:tcW w:w="2743" w:type="dxa"/>
            <w:gridSpan w:val="2"/>
            <w:tcBorders>
              <w:top w:val="nil"/>
              <w:left w:val="nil"/>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（七）总计</w:t>
            </w: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3429" w:type="dxa"/>
            <w:gridSpan w:val="3"/>
            <w:tcBorders>
              <w:top w:val="nil"/>
              <w:left w:val="single" w:color="auto" w:sz="8" w:space="0"/>
              <w:bottom w:val="nil"/>
              <w:right w:val="single" w:color="auto" w:sz="8" w:space="0"/>
            </w:tcBorders>
            <w:noWrap w:val="0"/>
            <w:vAlign w:val="center"/>
          </w:tcPr>
          <w:p>
            <w:pPr>
              <w:spacing w:line="320" w:lineRule="exact"/>
              <w:rPr>
                <w:rFonts w:hint="eastAsia" w:ascii="仿宋_GB2312" w:hAnsi="仿宋_GB2312" w:eastAsia="仿宋_GB2312" w:cs="仿宋_GB2312"/>
              </w:rPr>
            </w:pPr>
            <w:r>
              <w:rPr>
                <w:rFonts w:hint="eastAsia" w:ascii="仿宋_GB2312" w:hAnsi="仿宋_GB2312" w:eastAsia="仿宋_GB2312" w:cs="仿宋_GB2312"/>
                <w:sz w:val="20"/>
                <w:szCs w:val="20"/>
              </w:rPr>
              <w:t>四、结转下年度继续办理</w:t>
            </w:r>
          </w:p>
        </w:tc>
        <w:tc>
          <w:tcPr>
            <w:tcW w:w="567"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37"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708"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851"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92"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923"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c>
          <w:tcPr>
            <w:tcW w:w="675" w:type="dxa"/>
            <w:tcBorders>
              <w:top w:val="nil"/>
              <w:left w:val="nil"/>
              <w:bottom w:val="nil"/>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sz w:val="20"/>
                <w:szCs w:val="20"/>
              </w:rPr>
              <w:t>0</w:t>
            </w:r>
          </w:p>
        </w:tc>
      </w:tr>
      <w:tr>
        <w:tblPrEx>
          <w:tblCellMar>
            <w:top w:w="0" w:type="dxa"/>
            <w:left w:w="0" w:type="dxa"/>
            <w:bottom w:w="0" w:type="dxa"/>
            <w:right w:w="0" w:type="dxa"/>
          </w:tblCellMar>
        </w:tblPrEx>
        <w:trPr>
          <w:jc w:val="center"/>
        </w:trPr>
        <w:tc>
          <w:tcPr>
            <w:tcW w:w="3429" w:type="dxa"/>
            <w:gridSpan w:val="3"/>
            <w:tcBorders>
              <w:top w:val="nil"/>
              <w:left w:val="single" w:color="auto" w:sz="8" w:space="0"/>
              <w:bottom w:val="single" w:color="auto" w:sz="8" w:space="0"/>
              <w:right w:val="single" w:color="auto" w:sz="8" w:space="0"/>
            </w:tcBorders>
            <w:noWrap w:val="0"/>
            <w:vAlign w:val="center"/>
          </w:tcPr>
          <w:p>
            <w:pPr>
              <w:spacing w:line="320" w:lineRule="exact"/>
              <w:rPr>
                <w:rFonts w:hint="eastAsia" w:ascii="仿宋_GB2312" w:hAnsi="仿宋_GB2312" w:eastAsia="仿宋_GB2312" w:cs="仿宋_GB2312"/>
                <w:sz w:val="20"/>
                <w:szCs w:val="20"/>
              </w:rPr>
            </w:pPr>
          </w:p>
        </w:tc>
        <w:tc>
          <w:tcPr>
            <w:tcW w:w="5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c>
          <w:tcPr>
            <w:tcW w:w="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c>
          <w:tcPr>
            <w:tcW w:w="7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c>
          <w:tcPr>
            <w:tcW w:w="9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20" w:lineRule="exact"/>
              <w:jc w:val="center"/>
              <w:rPr>
                <w:rFonts w:hint="eastAsia" w:ascii="仿宋_GB2312" w:hAnsi="仿宋_GB2312" w:eastAsia="仿宋_GB2312" w:cs="仿宋_GB2312"/>
                <w:sz w:val="20"/>
                <w:szCs w:val="20"/>
              </w:rPr>
            </w:pPr>
          </w:p>
        </w:tc>
      </w:tr>
    </w:tbl>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333333"/>
          <w:sz w:val="32"/>
          <w:szCs w:val="32"/>
          <w:shd w:val="clear" w:color="auto" w:fill="FFFFFF"/>
        </w:rPr>
      </w:pPr>
    </w:p>
    <w:p>
      <w:pPr>
        <w:pStyle w:val="2"/>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政府信息公开行政复议、行政诉讼情况</w:t>
      </w:r>
    </w:p>
    <w:tbl>
      <w:tblPr>
        <w:tblStyle w:val="3"/>
        <w:tblpPr w:leftFromText="180" w:rightFromText="180" w:vertAnchor="text" w:horzAnchor="page" w:tblpX="1524" w:tblpY="262"/>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sz w:val="24"/>
              </w:rPr>
            </w:pPr>
          </w:p>
        </w:tc>
        <w:tc>
          <w:tcPr>
            <w:tcW w:w="604" w:type="dxa"/>
            <w:vMerge w:val="continue"/>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sz w:val="24"/>
              </w:rPr>
            </w:pPr>
          </w:p>
        </w:tc>
        <w:tc>
          <w:tcPr>
            <w:tcW w:w="55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cs="Calibri"/>
                <w:kern w:val="0"/>
                <w:sz w:val="20"/>
                <w:szCs w:val="20"/>
                <w:lang w:bidi="ar"/>
              </w:rPr>
              <w:t>0</w:t>
            </w:r>
            <w:r>
              <w:rPr>
                <w:rFonts w:cs="Calibri"/>
                <w:kern w:val="0"/>
                <w:sz w:val="20"/>
                <w:szCs w:val="20"/>
                <w:lang w:bidi="ar"/>
              </w:rPr>
              <w:t> </w:t>
            </w:r>
          </w:p>
        </w:tc>
        <w:tc>
          <w:tcPr>
            <w:tcW w:w="60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cs="Calibri"/>
                <w:kern w:val="0"/>
                <w:sz w:val="20"/>
                <w:szCs w:val="20"/>
                <w:lang w:bidi="ar"/>
              </w:rPr>
              <w:t>0</w:t>
            </w:r>
            <w:r>
              <w:rPr>
                <w:rFonts w:cs="Calibri"/>
                <w:kern w:val="0"/>
                <w:sz w:val="20"/>
                <w:szCs w:val="20"/>
                <w:lang w:bidi="ar"/>
              </w:rPr>
              <w:t> </w:t>
            </w:r>
          </w:p>
        </w:tc>
        <w:tc>
          <w:tcPr>
            <w:tcW w:w="658"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55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cs="Calibri"/>
                <w:kern w:val="0"/>
                <w:sz w:val="20"/>
                <w:szCs w:val="20"/>
                <w:lang w:bidi="ar"/>
              </w:rPr>
              <w:t>0</w:t>
            </w:r>
            <w:r>
              <w:rPr>
                <w:rFonts w:cs="Calibri"/>
                <w:kern w:val="0"/>
                <w:sz w:val="20"/>
                <w:szCs w:val="20"/>
                <w:lang w:bidi="ar"/>
              </w:rPr>
              <w:t> </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hint="eastAsia" w:cs="Calibri"/>
                <w:kern w:val="0"/>
                <w:sz w:val="20"/>
                <w:szCs w:val="20"/>
                <w:lang w:bidi="ar"/>
              </w:rPr>
              <w:t>0</w:t>
            </w:r>
            <w:r>
              <w:rPr>
                <w:rFonts w:cs="Calibri"/>
                <w:kern w:val="0"/>
                <w:sz w:val="20"/>
                <w:szCs w:val="20"/>
                <w:lang w:bidi="ar"/>
              </w:rPr>
              <w:t> </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6"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pPr>
            <w:r>
              <w:rPr>
                <w:rFonts w:cs="Calibri"/>
                <w:kern w:val="0"/>
                <w:sz w:val="20"/>
                <w:szCs w:val="20"/>
                <w:lang w:bidi="ar"/>
              </w:rPr>
              <w:t> </w:t>
            </w:r>
            <w:r>
              <w:rPr>
                <w:rFonts w:hint="eastAsia" w:cs="Calibri"/>
                <w:kern w:val="0"/>
                <w:sz w:val="20"/>
                <w:szCs w:val="20"/>
                <w:lang w:bidi="ar"/>
              </w:rPr>
              <w:t>0</w:t>
            </w:r>
          </w:p>
        </w:tc>
        <w:tc>
          <w:tcPr>
            <w:tcW w:w="606"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sz w:val="24"/>
              </w:rPr>
            </w:pPr>
            <w:r>
              <w:rPr>
                <w:rFonts w:hint="eastAsia" w:ascii="宋体"/>
                <w:sz w:val="24"/>
              </w:rPr>
              <w:t>0</w:t>
            </w:r>
          </w:p>
        </w:tc>
      </w:tr>
    </w:tbl>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ascii="宋体" w:hAnsi="宋体" w:cs="宋体"/>
          <w:color w:val="333333"/>
          <w:sz w:val="24"/>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五、存在的主要问题及改进情况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eastAsia="zh-CN"/>
        </w:rPr>
        <w:t>今年以来，我局依托税企互动平台、</w:t>
      </w:r>
      <w:r>
        <w:rPr>
          <w:rFonts w:hint="eastAsia" w:ascii="仿宋_GB2312" w:hAnsi="宋体" w:eastAsia="仿宋_GB2312" w:cs="宋体"/>
          <w:sz w:val="32"/>
          <w:szCs w:val="32"/>
          <w:shd w:val="clear" w:color="auto" w:fill="FFFFFF"/>
          <w:lang w:val="en-US" w:eastAsia="zh-CN"/>
        </w:rPr>
        <w:t>税企交流群等大力扩展新媒体“线上”政务公开渠道，取得了一定成效，同时也存在不足之处：一是信息公开靶向不够精准，对一些特定行业、特定群体的税收优惠政策推送精准度有待提高；二是公开内容的便民性有待增强，不能完全适应广大纳税人（缴费人）的需求。针对上述问题我局将</w:t>
      </w:r>
      <w:r>
        <w:rPr>
          <w:rFonts w:hint="eastAsia" w:ascii="仿宋_GB2312" w:hAnsi="宋体" w:eastAsia="仿宋_GB2312" w:cs="宋体"/>
          <w:sz w:val="32"/>
          <w:szCs w:val="32"/>
          <w:shd w:val="clear" w:color="auto" w:fill="FFFFFF"/>
        </w:rPr>
        <w:t>坚持“以公开为原则、不公开为例外”的总原则</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针对不同群体涉税信息需求，在注重宣传内容准确的同时注重提升税费优惠和办税缴费流程等宣传的靶向性和表现形式的多样性和趣味性，</w:t>
      </w:r>
      <w:r>
        <w:rPr>
          <w:rFonts w:hint="eastAsia" w:ascii="仿宋_GB2312" w:hAnsi="宋体" w:eastAsia="仿宋_GB2312" w:cs="宋体"/>
          <w:sz w:val="32"/>
          <w:szCs w:val="32"/>
          <w:shd w:val="clear" w:color="auto" w:fill="FFFFFF"/>
        </w:rPr>
        <w:t>以</w:t>
      </w:r>
      <w:r>
        <w:rPr>
          <w:rFonts w:hint="eastAsia" w:ascii="仿宋_GB2312" w:hAnsi="宋体" w:eastAsia="仿宋_GB2312" w:cs="宋体"/>
          <w:sz w:val="32"/>
          <w:szCs w:val="32"/>
          <w:shd w:val="clear" w:color="auto" w:fill="FFFFFF"/>
          <w:lang w:eastAsia="zh-CN"/>
        </w:rPr>
        <w:t>便</w:t>
      </w:r>
      <w:r>
        <w:rPr>
          <w:rFonts w:hint="eastAsia" w:ascii="仿宋_GB2312" w:hAnsi="宋体" w:eastAsia="仿宋_GB2312" w:cs="宋体"/>
          <w:sz w:val="32"/>
          <w:szCs w:val="32"/>
          <w:shd w:val="clear" w:color="auto" w:fill="FFFFFF"/>
        </w:rPr>
        <w:t>广泛地服务好纳税人缴费人</w:t>
      </w:r>
      <w:r>
        <w:rPr>
          <w:rFonts w:hint="eastAsia" w:ascii="仿宋_GB2312" w:hAnsi="宋体" w:eastAsia="仿宋_GB2312" w:cs="宋体"/>
          <w:sz w:val="32"/>
          <w:szCs w:val="32"/>
          <w:shd w:val="clear" w:color="auto" w:fill="FFFFFF"/>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sz w:val="32"/>
          <w:szCs w:val="32"/>
          <w:shd w:val="clear" w:color="auto" w:fill="FFFFFF"/>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eastAsia="zh-CN"/>
        </w:rPr>
        <w:t>六、</w:t>
      </w:r>
      <w:r>
        <w:rPr>
          <w:rFonts w:hint="eastAsia" w:ascii="仿宋_GB2312" w:hAnsi="仿宋_GB2312" w:eastAsia="仿宋_GB2312" w:cs="仿宋_GB2312"/>
          <w:b/>
          <w:bCs/>
          <w:sz w:val="32"/>
          <w:szCs w:val="32"/>
          <w:shd w:val="clear" w:color="auto" w:fill="FFFFFF"/>
        </w:rPr>
        <w:t>其他需要报告的事项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宋体" w:eastAsia="仿宋_GB2312" w:cs="宋体"/>
          <w:kern w:val="0"/>
          <w:sz w:val="32"/>
          <w:szCs w:val="32"/>
          <w:shd w:val="clear" w:color="auto" w:fill="FFFFFF"/>
        </w:rPr>
        <w:t>国家税务总局镇宁布依族苗族自治县税务局</w:t>
      </w:r>
      <w:r>
        <w:rPr>
          <w:rFonts w:hint="eastAsia" w:ascii="仿宋_GB2312" w:hAnsi="仿宋_GB2312" w:eastAsia="仿宋_GB2312" w:cs="仿宋_GB2312"/>
          <w:i w:val="0"/>
          <w:iCs w:val="0"/>
          <w:caps w:val="0"/>
          <w:color w:val="333333"/>
          <w:spacing w:val="8"/>
          <w:kern w:val="0"/>
          <w:sz w:val="32"/>
          <w:szCs w:val="32"/>
          <w:shd w:val="clear" w:color="auto" w:fill="FFFFFF"/>
          <w:lang w:val="en-US" w:eastAsia="zh-CN" w:bidi="ar"/>
        </w:rPr>
        <w:t>2021年未收取信息处理费等行政事业性收费。</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60" w:lineRule="exact"/>
        <w:ind w:firstLine="2720" w:firstLineChars="85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国家税务总局镇宁布依族苗族自治县税务局</w:t>
      </w:r>
    </w:p>
    <w:p>
      <w:pPr>
        <w:keepNext w:val="0"/>
        <w:keepLines w:val="0"/>
        <w:pageBreakBefore w:val="0"/>
        <w:kinsoku/>
        <w:overflowPunct/>
        <w:topLinePunct w:val="0"/>
        <w:autoSpaceDE/>
        <w:autoSpaceDN/>
        <w:bidi w:val="0"/>
        <w:adjustRightInd/>
        <w:snapToGrid/>
        <w:spacing w:line="560" w:lineRule="exact"/>
        <w:ind w:firstLine="5760" w:firstLineChars="18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202</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年1月</w:t>
      </w:r>
      <w:r>
        <w:rPr>
          <w:rFonts w:hint="eastAsia" w:ascii="仿宋_GB2312" w:hAnsi="宋体" w:eastAsia="仿宋_GB2312" w:cs="宋体"/>
          <w:kern w:val="0"/>
          <w:sz w:val="32"/>
          <w:szCs w:val="32"/>
          <w:shd w:val="clear" w:color="auto" w:fill="FFFFFF"/>
          <w:lang w:val="en-US" w:eastAsia="zh-CN"/>
        </w:rPr>
        <w:t>24</w:t>
      </w:r>
      <w:r>
        <w:rPr>
          <w:rFonts w:hint="eastAsia" w:ascii="仿宋_GB2312" w:hAnsi="宋体" w:eastAsia="仿宋_GB2312" w:cs="宋体"/>
          <w:kern w:val="0"/>
          <w:sz w:val="32"/>
          <w:szCs w:val="32"/>
          <w:shd w:val="clear" w:color="auto" w:fill="FFFFFF"/>
        </w:rPr>
        <w:t>日</w:t>
      </w:r>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4426A"/>
    <w:multiLevelType w:val="singleLevel"/>
    <w:tmpl w:val="BBB4426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178A3"/>
    <w:rsid w:val="0004343E"/>
    <w:rsid w:val="012F6C0F"/>
    <w:rsid w:val="0CB54202"/>
    <w:rsid w:val="2F330AA5"/>
    <w:rsid w:val="4EED12D8"/>
    <w:rsid w:val="69E97E0F"/>
    <w:rsid w:val="72004C38"/>
    <w:rsid w:val="737178A3"/>
    <w:rsid w:val="74043DC6"/>
    <w:rsid w:val="784F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2022-01-28T04:35:00Z</dcterms:created>
  <dc:creator>周撰</dc:creator>
  <cp:lastModifiedBy>Administrator</cp:lastModifiedBy>
  <dcterms:modified xsi:type="dcterms:W3CDTF">2022-01-28T06:57:46Z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E29700F240A641EAB0C595219949F0A0</vt:lpwstr>
  </property>
</Properties>
</file>