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Times New Roman"/>
          <w:color w:val="000000" w:themeColor="text1"/>
          <w:sz w:val="44"/>
          <w:szCs w:val="44"/>
        </w:rPr>
      </w:pPr>
      <w:r>
        <w:rPr>
          <w:rFonts w:hint="eastAsia" w:ascii="方正小标宋简体" w:hAnsi="方正小标宋简体" w:eastAsia="方正小标宋简体" w:cs="Times New Roman"/>
          <w:color w:val="000000" w:themeColor="text1"/>
          <w:sz w:val="44"/>
          <w:szCs w:val="44"/>
        </w:rPr>
        <w:t>国家税务总局安顺市西秀区税务局</w:t>
      </w:r>
    </w:p>
    <w:p>
      <w:pPr>
        <w:spacing w:line="700" w:lineRule="exact"/>
        <w:jc w:val="center"/>
        <w:rPr>
          <w:rFonts w:ascii="方正小标宋简体" w:hAnsi="宋体" w:eastAsia="方正小标宋简体" w:cs="宋体"/>
          <w:color w:val="000000" w:themeColor="text1"/>
          <w:sz w:val="44"/>
          <w:szCs w:val="44"/>
        </w:rPr>
      </w:pPr>
      <w:r>
        <w:rPr>
          <w:rFonts w:hint="eastAsia" w:ascii="方正小标宋简体" w:hAnsi="方正小标宋简体" w:eastAsia="方正小标宋简体" w:cs="Times New Roman"/>
          <w:color w:val="000000" w:themeColor="text1"/>
          <w:sz w:val="44"/>
          <w:szCs w:val="44"/>
        </w:rPr>
        <w:t>202</w:t>
      </w:r>
      <w:r>
        <w:rPr>
          <w:rFonts w:hint="eastAsia" w:ascii="方正小标宋简体" w:hAnsi="方正小标宋简体" w:eastAsia="方正小标宋简体" w:cs="Times New Roman"/>
          <w:color w:val="000000" w:themeColor="text1"/>
          <w:sz w:val="44"/>
          <w:szCs w:val="44"/>
          <w:lang w:val="en-US" w:eastAsia="zh-CN"/>
        </w:rPr>
        <w:t>1</w:t>
      </w:r>
      <w:r>
        <w:rPr>
          <w:rFonts w:hint="eastAsia" w:ascii="方正小标宋简体" w:hAnsi="方正小标宋简体" w:eastAsia="方正小标宋简体" w:cs="Times New Roman"/>
          <w:color w:val="000000" w:themeColor="text1"/>
          <w:sz w:val="44"/>
          <w:szCs w:val="44"/>
        </w:rPr>
        <w:t>年政府信息公开工作年度报告</w:t>
      </w:r>
    </w:p>
    <w:p>
      <w:pPr>
        <w:ind w:firstLine="656" w:firstLineChars="200"/>
        <w:rPr>
          <w:rFonts w:ascii="仿宋_GB2312" w:hAnsi="Calibri" w:eastAsia="仿宋_GB2312" w:cs="Times New Roman"/>
          <w:color w:val="000000" w:themeColor="text1"/>
          <w:spacing w:val="4"/>
          <w:sz w:val="32"/>
          <w:szCs w:val="32"/>
        </w:rPr>
      </w:pPr>
    </w:p>
    <w:p>
      <w:pPr>
        <w:pStyle w:val="12"/>
        <w:spacing w:line="570" w:lineRule="exact"/>
        <w:ind w:firstLine="640"/>
        <w:rPr>
          <w:rFonts w:ascii="仿宋_GB2312" w:hAnsi="宋体" w:eastAsia="仿宋_GB2312" w:cs="宋体"/>
          <w:color w:val="000000" w:themeColor="text1"/>
        </w:rPr>
      </w:pPr>
      <w:r>
        <w:rPr>
          <w:rFonts w:hint="eastAsia" w:ascii="仿宋_GB2312" w:hAnsi="宋体" w:eastAsia="仿宋_GB2312" w:cs="宋体"/>
          <w:color w:val="000000" w:themeColor="text1"/>
        </w:rPr>
        <w:t>根据《中华人民共和国政府信息公开条例》第五十条之规定，制作本报告。</w:t>
      </w:r>
    </w:p>
    <w:p>
      <w:pPr>
        <w:pStyle w:val="12"/>
        <w:spacing w:line="570" w:lineRule="exact"/>
        <w:ind w:firstLine="640"/>
        <w:rPr>
          <w:rFonts w:ascii="宋体" w:hAnsi="宋体" w:cs="宋体"/>
          <w:color w:val="000000" w:themeColor="text1"/>
        </w:rPr>
      </w:pPr>
      <w:r>
        <w:rPr>
          <w:rFonts w:hint="eastAsia" w:ascii="黑体" w:hAnsi="黑体" w:eastAsia="黑体" w:cs="宋体"/>
          <w:color w:val="000000" w:themeColor="text1"/>
        </w:rPr>
        <w:t>一、总体情况</w:t>
      </w:r>
    </w:p>
    <w:p>
      <w:pPr>
        <w:spacing w:line="570" w:lineRule="exact"/>
        <w:ind w:firstLine="656" w:firstLineChars="200"/>
        <w:rPr>
          <w:rFonts w:hint="eastAsia" w:ascii="仿宋_GB2312" w:hAnsi="Calibri" w:eastAsia="仿宋_GB2312" w:cs="Times New Roman"/>
          <w:color w:val="000000" w:themeColor="text1"/>
          <w:spacing w:val="4"/>
          <w:sz w:val="32"/>
          <w:szCs w:val="32"/>
          <w:lang w:eastAsia="zh-CN"/>
        </w:rPr>
      </w:pPr>
      <w:r>
        <w:rPr>
          <w:rFonts w:hint="eastAsia" w:ascii="仿宋_GB2312" w:hAnsi="Calibri" w:eastAsia="仿宋_GB2312" w:cs="Times New Roman"/>
          <w:color w:val="000000" w:themeColor="text1"/>
          <w:spacing w:val="4"/>
          <w:sz w:val="32"/>
          <w:szCs w:val="32"/>
        </w:rPr>
        <w:t>202</w:t>
      </w:r>
      <w:r>
        <w:rPr>
          <w:rFonts w:hint="eastAsia" w:ascii="仿宋_GB2312" w:hAnsi="Calibri" w:eastAsia="仿宋_GB2312" w:cs="Times New Roman"/>
          <w:color w:val="000000" w:themeColor="text1"/>
          <w:spacing w:val="4"/>
          <w:sz w:val="32"/>
          <w:szCs w:val="32"/>
          <w:lang w:val="en-US" w:eastAsia="zh-CN"/>
        </w:rPr>
        <w:t>1</w:t>
      </w:r>
      <w:r>
        <w:rPr>
          <w:rFonts w:hint="eastAsia" w:ascii="仿宋_GB2312" w:hAnsi="Calibri" w:eastAsia="仿宋_GB2312" w:cs="Times New Roman"/>
          <w:color w:val="000000" w:themeColor="text1"/>
          <w:spacing w:val="4"/>
          <w:sz w:val="32"/>
          <w:szCs w:val="32"/>
        </w:rPr>
        <w:t>年，国家税务总局安顺市西秀区税务局以习近平新时代中国特色社会主义思想为指导，积极贯彻落实《中华人民共和国政府信息公开条例》精神，按照</w:t>
      </w:r>
      <w:r>
        <w:rPr>
          <w:rFonts w:hint="eastAsia" w:ascii="仿宋_GB2312" w:hAnsi="Calibri" w:eastAsia="仿宋_GB2312" w:cs="Times New Roman"/>
          <w:color w:val="000000" w:themeColor="text1"/>
          <w:spacing w:val="4"/>
          <w:sz w:val="32"/>
          <w:szCs w:val="32"/>
          <w:lang w:eastAsia="zh-CN"/>
        </w:rPr>
        <w:t>上级局</w:t>
      </w:r>
      <w:r>
        <w:rPr>
          <w:rFonts w:hint="eastAsia" w:ascii="仿宋_GB2312" w:hAnsi="Calibri" w:eastAsia="仿宋_GB2312" w:cs="Times New Roman"/>
          <w:color w:val="000000" w:themeColor="text1"/>
          <w:spacing w:val="4"/>
          <w:sz w:val="32"/>
          <w:szCs w:val="32"/>
        </w:rPr>
        <w:t>相关工作部署和要求，</w:t>
      </w:r>
      <w:r>
        <w:rPr>
          <w:rFonts w:hint="eastAsia" w:ascii="仿宋_GB2312" w:hAnsi="Calibri" w:eastAsia="仿宋_GB2312" w:cs="Times New Roman"/>
          <w:color w:val="000000" w:themeColor="text1"/>
          <w:spacing w:val="4"/>
          <w:sz w:val="32"/>
          <w:szCs w:val="32"/>
          <w:lang w:eastAsia="zh-CN"/>
        </w:rPr>
        <w:t>大力推进税收领域政府信息公开力度，主动围绕税收中心工作和</w:t>
      </w:r>
      <w:r>
        <w:rPr>
          <w:rFonts w:hint="eastAsia" w:ascii="仿宋_GB2312" w:hAnsi="Calibri" w:eastAsia="仿宋_GB2312" w:cs="Times New Roman"/>
          <w:color w:val="000000" w:themeColor="text1"/>
          <w:spacing w:val="4"/>
          <w:sz w:val="32"/>
          <w:szCs w:val="32"/>
        </w:rPr>
        <w:t>纳税人、缴费人和社会公众</w:t>
      </w:r>
      <w:r>
        <w:rPr>
          <w:rFonts w:hint="eastAsia" w:ascii="仿宋_GB2312" w:hAnsi="Calibri" w:eastAsia="仿宋_GB2312" w:cs="Times New Roman"/>
          <w:color w:val="000000" w:themeColor="text1"/>
          <w:spacing w:val="4"/>
          <w:sz w:val="32"/>
          <w:szCs w:val="32"/>
          <w:lang w:eastAsia="zh-CN"/>
        </w:rPr>
        <w:t>关切，加强信息发布、解读和回应工作，不断增强政府信息公开实效。</w:t>
      </w:r>
    </w:p>
    <w:p>
      <w:pPr>
        <w:spacing w:line="570" w:lineRule="exact"/>
        <w:ind w:firstLine="422" w:firstLineChars="200"/>
        <w:rPr>
          <w:rFonts w:hint="eastAsia" w:ascii="楷体_GB2312" w:hAnsi="Calibri" w:eastAsia="楷体_GB2312" w:cs="Times New Roman"/>
          <w:b/>
          <w:color w:val="000000" w:themeColor="text1"/>
          <w:spacing w:val="4"/>
          <w:sz w:val="32"/>
          <w:szCs w:val="32"/>
          <w:lang w:eastAsia="zh-CN"/>
        </w:rPr>
      </w:pPr>
      <w:r>
        <w:rPr>
          <w:rFonts w:hint="eastAsia" w:ascii="楷体_GB2312" w:hAnsi="楷体" w:eastAsia="楷体_GB2312" w:cs="宋体"/>
          <w:b/>
          <w:color w:val="000000" w:themeColor="text1"/>
        </w:rPr>
        <w:t xml:space="preserve"> </w:t>
      </w:r>
      <w:r>
        <w:rPr>
          <w:rFonts w:hint="eastAsia" w:ascii="楷体_GB2312" w:hAnsi="Calibri" w:eastAsia="楷体_GB2312" w:cs="Times New Roman"/>
          <w:b/>
          <w:color w:val="000000" w:themeColor="text1"/>
          <w:spacing w:val="4"/>
          <w:sz w:val="32"/>
          <w:szCs w:val="32"/>
        </w:rPr>
        <w:t>（</w:t>
      </w:r>
      <w:r>
        <w:rPr>
          <w:rFonts w:hint="eastAsia" w:ascii="楷体_GB2312" w:hAnsi="Calibri" w:eastAsia="楷体_GB2312" w:cs="Times New Roman"/>
          <w:b/>
          <w:color w:val="000000" w:themeColor="text1"/>
          <w:spacing w:val="4"/>
          <w:sz w:val="32"/>
          <w:szCs w:val="32"/>
          <w:lang w:eastAsia="zh-CN"/>
        </w:rPr>
        <w:t>一</w:t>
      </w:r>
      <w:r>
        <w:rPr>
          <w:rFonts w:hint="eastAsia" w:ascii="楷体_GB2312" w:hAnsi="Calibri" w:eastAsia="楷体_GB2312" w:cs="Times New Roman"/>
          <w:b/>
          <w:color w:val="000000" w:themeColor="text1"/>
          <w:spacing w:val="4"/>
          <w:sz w:val="32"/>
          <w:szCs w:val="32"/>
        </w:rPr>
        <w:t>）</w:t>
      </w:r>
      <w:r>
        <w:rPr>
          <w:rFonts w:hint="eastAsia" w:ascii="楷体_GB2312" w:hAnsi="Calibri" w:eastAsia="楷体_GB2312" w:cs="Times New Roman"/>
          <w:b/>
          <w:color w:val="000000" w:themeColor="text1"/>
          <w:spacing w:val="4"/>
          <w:sz w:val="32"/>
          <w:szCs w:val="32"/>
          <w:lang w:eastAsia="zh-CN"/>
        </w:rPr>
        <w:t>持续加大信息公开力度</w:t>
      </w:r>
    </w:p>
    <w:p>
      <w:pPr>
        <w:spacing w:line="570" w:lineRule="exact"/>
        <w:ind w:firstLine="659" w:firstLineChars="200"/>
        <w:rPr>
          <w:rFonts w:ascii="仿宋_GB2312" w:hAnsi="Calibri" w:eastAsia="仿宋_GB2312" w:cs="Times New Roman"/>
          <w:color w:val="000000" w:themeColor="text1"/>
          <w:spacing w:val="4"/>
          <w:sz w:val="32"/>
          <w:szCs w:val="32"/>
          <w:highlight w:val="none"/>
        </w:rPr>
      </w:pPr>
      <w:r>
        <w:rPr>
          <w:rFonts w:hint="eastAsia" w:ascii="仿宋_GB2312" w:hAnsi="Calibri" w:eastAsia="仿宋_GB2312" w:cs="Times New Roman"/>
          <w:b/>
          <w:color w:val="000000" w:themeColor="text1"/>
          <w:spacing w:val="4"/>
          <w:sz w:val="32"/>
          <w:szCs w:val="32"/>
        </w:rPr>
        <w:t>一是充分应用政府网站平台。</w:t>
      </w:r>
      <w:r>
        <w:rPr>
          <w:rFonts w:hint="eastAsia" w:ascii="仿宋_GB2312" w:hAnsi="Calibri" w:eastAsia="仿宋_GB2312" w:cs="Times New Roman"/>
          <w:color w:val="000000" w:themeColor="text1"/>
          <w:spacing w:val="4"/>
          <w:sz w:val="32"/>
          <w:szCs w:val="32"/>
        </w:rPr>
        <w:t>按照区政府相关工作要求，对应区政府网站栏目，上传政策解读、办事指南、新闻信息等政府信息公开工作内容，使社会各界了解并监督区局工作职能及服务事项等公开内容。</w:t>
      </w:r>
      <w:r>
        <w:rPr>
          <w:rFonts w:hint="eastAsia" w:ascii="仿宋_GB2312" w:hAnsi="Calibri" w:eastAsia="仿宋_GB2312" w:cs="Times New Roman"/>
          <w:color w:val="000000" w:themeColor="text1"/>
          <w:spacing w:val="4"/>
          <w:sz w:val="32"/>
          <w:szCs w:val="32"/>
          <w:highlight w:val="none"/>
        </w:rPr>
        <w:t>一年来，共发布</w:t>
      </w:r>
      <w:r>
        <w:rPr>
          <w:rFonts w:hint="eastAsia" w:ascii="仿宋_GB2312" w:hAnsi="Calibri" w:eastAsia="仿宋_GB2312" w:cs="Times New Roman"/>
          <w:color w:val="000000" w:themeColor="text1"/>
          <w:spacing w:val="4"/>
          <w:sz w:val="32"/>
          <w:szCs w:val="32"/>
          <w:highlight w:val="none"/>
          <w:lang w:val="en-US" w:eastAsia="zh-CN"/>
        </w:rPr>
        <w:t>116</w:t>
      </w:r>
      <w:r>
        <w:rPr>
          <w:rFonts w:hint="eastAsia" w:ascii="仿宋_GB2312" w:hAnsi="Calibri" w:eastAsia="仿宋_GB2312" w:cs="Times New Roman"/>
          <w:color w:val="000000" w:themeColor="text1"/>
          <w:spacing w:val="4"/>
          <w:sz w:val="32"/>
          <w:szCs w:val="32"/>
          <w:highlight w:val="none"/>
        </w:rPr>
        <w:t>条政务公开信息，其中：减税降费</w:t>
      </w:r>
      <w:r>
        <w:rPr>
          <w:rFonts w:hint="eastAsia" w:ascii="仿宋_GB2312" w:hAnsi="Calibri" w:eastAsia="仿宋_GB2312" w:cs="Times New Roman"/>
          <w:color w:val="000000" w:themeColor="text1"/>
          <w:spacing w:val="4"/>
          <w:sz w:val="32"/>
          <w:szCs w:val="32"/>
          <w:highlight w:val="none"/>
          <w:lang w:val="en-US" w:eastAsia="zh-CN"/>
        </w:rPr>
        <w:t>7</w:t>
      </w:r>
      <w:r>
        <w:rPr>
          <w:rFonts w:hint="eastAsia" w:ascii="仿宋_GB2312" w:hAnsi="Calibri" w:eastAsia="仿宋_GB2312" w:cs="Times New Roman"/>
          <w:color w:val="000000" w:themeColor="text1"/>
          <w:spacing w:val="4"/>
          <w:sz w:val="32"/>
          <w:szCs w:val="32"/>
          <w:highlight w:val="none"/>
        </w:rPr>
        <w:t>条、财税制度</w:t>
      </w:r>
      <w:r>
        <w:rPr>
          <w:rFonts w:hint="eastAsia" w:ascii="仿宋_GB2312" w:hAnsi="Calibri" w:eastAsia="仿宋_GB2312" w:cs="Times New Roman"/>
          <w:color w:val="000000" w:themeColor="text1"/>
          <w:spacing w:val="4"/>
          <w:sz w:val="32"/>
          <w:szCs w:val="32"/>
          <w:highlight w:val="none"/>
          <w:lang w:val="en-US" w:eastAsia="zh-CN"/>
        </w:rPr>
        <w:t>15</w:t>
      </w:r>
      <w:r>
        <w:rPr>
          <w:rFonts w:hint="eastAsia" w:ascii="仿宋_GB2312" w:hAnsi="Calibri" w:eastAsia="仿宋_GB2312" w:cs="Times New Roman"/>
          <w:color w:val="000000" w:themeColor="text1"/>
          <w:spacing w:val="4"/>
          <w:sz w:val="32"/>
          <w:szCs w:val="32"/>
          <w:highlight w:val="none"/>
        </w:rPr>
        <w:t>条、财税体制改革</w:t>
      </w:r>
      <w:r>
        <w:rPr>
          <w:rFonts w:hint="eastAsia" w:ascii="仿宋_GB2312" w:hAnsi="Calibri" w:eastAsia="仿宋_GB2312" w:cs="Times New Roman"/>
          <w:color w:val="000000" w:themeColor="text1"/>
          <w:spacing w:val="4"/>
          <w:sz w:val="32"/>
          <w:szCs w:val="32"/>
          <w:highlight w:val="none"/>
          <w:lang w:val="en-US" w:eastAsia="zh-CN"/>
        </w:rPr>
        <w:t>15</w:t>
      </w:r>
      <w:r>
        <w:rPr>
          <w:rFonts w:hint="eastAsia" w:ascii="仿宋_GB2312" w:hAnsi="Calibri" w:eastAsia="仿宋_GB2312" w:cs="Times New Roman"/>
          <w:color w:val="000000" w:themeColor="text1"/>
          <w:spacing w:val="4"/>
          <w:sz w:val="32"/>
          <w:szCs w:val="32"/>
          <w:highlight w:val="none"/>
        </w:rPr>
        <w:t>条、税收公告</w:t>
      </w:r>
      <w:r>
        <w:rPr>
          <w:rFonts w:hint="eastAsia" w:ascii="仿宋_GB2312" w:hAnsi="Calibri" w:eastAsia="仿宋_GB2312" w:cs="Times New Roman"/>
          <w:color w:val="000000" w:themeColor="text1"/>
          <w:spacing w:val="4"/>
          <w:sz w:val="32"/>
          <w:szCs w:val="32"/>
          <w:highlight w:val="none"/>
          <w:lang w:val="en-US" w:eastAsia="zh-CN"/>
        </w:rPr>
        <w:t>21</w:t>
      </w:r>
      <w:r>
        <w:rPr>
          <w:rFonts w:hint="eastAsia" w:ascii="仿宋_GB2312" w:hAnsi="Calibri" w:eastAsia="仿宋_GB2312" w:cs="Times New Roman"/>
          <w:color w:val="000000" w:themeColor="text1"/>
          <w:spacing w:val="4"/>
          <w:sz w:val="32"/>
          <w:szCs w:val="32"/>
          <w:highlight w:val="none"/>
        </w:rPr>
        <w:t>条、办税流程</w:t>
      </w:r>
      <w:r>
        <w:rPr>
          <w:rFonts w:hint="eastAsia" w:ascii="仿宋_GB2312" w:hAnsi="Calibri" w:eastAsia="仿宋_GB2312" w:cs="Times New Roman"/>
          <w:color w:val="000000" w:themeColor="text1"/>
          <w:spacing w:val="4"/>
          <w:sz w:val="32"/>
          <w:szCs w:val="32"/>
          <w:highlight w:val="none"/>
          <w:lang w:val="en-US" w:eastAsia="zh-CN"/>
        </w:rPr>
        <w:t>15</w:t>
      </w:r>
      <w:r>
        <w:rPr>
          <w:rFonts w:hint="eastAsia" w:ascii="仿宋_GB2312" w:hAnsi="Calibri" w:eastAsia="仿宋_GB2312" w:cs="Times New Roman"/>
          <w:color w:val="000000" w:themeColor="text1"/>
          <w:spacing w:val="4"/>
          <w:sz w:val="32"/>
          <w:szCs w:val="32"/>
          <w:highlight w:val="none"/>
        </w:rPr>
        <w:t>条、行政处罚1条、行政许可1条、税收政策</w:t>
      </w:r>
      <w:r>
        <w:rPr>
          <w:rFonts w:hint="eastAsia" w:ascii="仿宋_GB2312" w:hAnsi="Calibri" w:eastAsia="仿宋_GB2312" w:cs="Times New Roman"/>
          <w:color w:val="000000" w:themeColor="text1"/>
          <w:spacing w:val="4"/>
          <w:sz w:val="32"/>
          <w:szCs w:val="32"/>
          <w:highlight w:val="none"/>
          <w:lang w:val="en-US" w:eastAsia="zh-CN"/>
        </w:rPr>
        <w:t>41</w:t>
      </w:r>
      <w:r>
        <w:rPr>
          <w:rFonts w:hint="eastAsia" w:ascii="仿宋_GB2312" w:hAnsi="Calibri" w:eastAsia="仿宋_GB2312" w:cs="Times New Roman"/>
          <w:color w:val="000000" w:themeColor="text1"/>
          <w:spacing w:val="4"/>
          <w:sz w:val="32"/>
          <w:szCs w:val="32"/>
          <w:highlight w:val="none"/>
        </w:rPr>
        <w:t>条。</w:t>
      </w:r>
      <w:r>
        <w:rPr>
          <w:rFonts w:hint="eastAsia" w:ascii="仿宋_GB2312" w:hAnsi="黑体" w:eastAsia="仿宋_GB2312" w:cs="Times New Roman"/>
          <w:b/>
          <w:color w:val="000000" w:themeColor="text1"/>
          <w:sz w:val="32"/>
          <w:szCs w:val="32"/>
        </w:rPr>
        <w:t>二是</w:t>
      </w:r>
      <w:r>
        <w:rPr>
          <w:rFonts w:hint="eastAsia" w:ascii="仿宋_GB2312" w:hAnsi="Calibri" w:eastAsia="仿宋_GB2312" w:cs="Times New Roman"/>
          <w:b/>
          <w:color w:val="000000" w:themeColor="text1"/>
          <w:spacing w:val="4"/>
          <w:sz w:val="32"/>
          <w:szCs w:val="32"/>
        </w:rPr>
        <w:t>利用办税服务厅LED屏、公告栏等媒介，开展政府信息公开工作。</w:t>
      </w:r>
      <w:r>
        <w:rPr>
          <w:rFonts w:hint="eastAsia" w:ascii="仿宋_GB2312" w:hAnsi="Calibri" w:eastAsia="仿宋_GB2312" w:cs="Times New Roman"/>
          <w:color w:val="000000" w:themeColor="text1"/>
          <w:spacing w:val="4"/>
          <w:sz w:val="32"/>
          <w:szCs w:val="32"/>
          <w:highlight w:val="none"/>
        </w:rPr>
        <w:t>公布166项全程网上办理清单、延期申报及延期缴纳税款等政策，加强涉税专业服务机构监管，定期公告涉税专业服务机构信用等级，对A级纳税人名单进行公告。202</w:t>
      </w:r>
      <w:r>
        <w:rPr>
          <w:rFonts w:hint="eastAsia" w:ascii="仿宋_GB2312" w:hAnsi="Calibri" w:eastAsia="仿宋_GB2312" w:cs="Times New Roman"/>
          <w:color w:val="000000" w:themeColor="text1"/>
          <w:spacing w:val="4"/>
          <w:sz w:val="32"/>
          <w:szCs w:val="32"/>
          <w:highlight w:val="none"/>
          <w:lang w:val="en-US" w:eastAsia="zh-CN"/>
        </w:rPr>
        <w:t>1</w:t>
      </w:r>
      <w:r>
        <w:rPr>
          <w:rFonts w:hint="eastAsia" w:ascii="仿宋_GB2312" w:hAnsi="Calibri" w:eastAsia="仿宋_GB2312" w:cs="Times New Roman"/>
          <w:color w:val="000000" w:themeColor="text1"/>
          <w:spacing w:val="4"/>
          <w:sz w:val="32"/>
          <w:szCs w:val="32"/>
          <w:highlight w:val="none"/>
        </w:rPr>
        <w:t>年，共在办税大厅公告疫情期间减税降费政策、各月份办税公告、涉税事项操作流程等</w:t>
      </w:r>
      <w:r>
        <w:rPr>
          <w:rFonts w:hint="eastAsia" w:ascii="仿宋_GB2312" w:hAnsi="Calibri" w:eastAsia="仿宋_GB2312" w:cs="Times New Roman"/>
          <w:color w:val="000000" w:themeColor="text1"/>
          <w:spacing w:val="4"/>
          <w:sz w:val="32"/>
          <w:szCs w:val="32"/>
          <w:highlight w:val="none"/>
          <w:lang w:eastAsia="zh-CN"/>
        </w:rPr>
        <w:t>信息，</w:t>
      </w:r>
      <w:r>
        <w:rPr>
          <w:rFonts w:hint="eastAsia" w:ascii="仿宋_GB2312" w:hAnsi="Calibri" w:eastAsia="仿宋_GB2312" w:cs="Times New Roman"/>
          <w:color w:val="000000" w:themeColor="text1"/>
          <w:spacing w:val="4"/>
          <w:sz w:val="32"/>
          <w:szCs w:val="32"/>
          <w:highlight w:val="none"/>
        </w:rPr>
        <w:t>每月公布办税公开信息累计发布12次，其余各类公告50余次，摆放各类宣传资料6000余份</w:t>
      </w:r>
      <w:r>
        <w:rPr>
          <w:rFonts w:hint="eastAsia" w:ascii="仿宋_GB2312" w:hAnsi="Calibri" w:eastAsia="仿宋_GB2312" w:cs="Times New Roman"/>
          <w:color w:val="000000" w:themeColor="text1"/>
          <w:spacing w:val="4"/>
          <w:sz w:val="32"/>
          <w:szCs w:val="32"/>
          <w:highlight w:val="none"/>
          <w:lang w:eastAsia="zh-CN"/>
        </w:rPr>
        <w:t>。</w:t>
      </w:r>
      <w:r>
        <w:rPr>
          <w:rFonts w:hint="eastAsia" w:ascii="仿宋_GB2312" w:hAnsi="Calibri" w:eastAsia="仿宋_GB2312" w:cs="Times New Roman"/>
          <w:color w:val="000000" w:themeColor="text1"/>
          <w:spacing w:val="4"/>
          <w:sz w:val="32"/>
          <w:szCs w:val="32"/>
          <w:highlight w:val="none"/>
        </w:rPr>
        <w:t>设置领导值班岗、业务骨干值班岗，成立“导服班”，解答纳税人相关涉税问题，做到辅导与信息公开相结合，2021年共解答纳税人各类问题共计1.2万余个，登记问题台账1200余条。解答纳税人相关涉税问题，做到辅导与信息公开相结合。</w:t>
      </w:r>
    </w:p>
    <w:p>
      <w:pPr>
        <w:pStyle w:val="12"/>
        <w:numPr>
          <w:ilvl w:val="0"/>
          <w:numId w:val="1"/>
        </w:numPr>
        <w:spacing w:line="570" w:lineRule="exact"/>
        <w:ind w:firstLine="643"/>
        <w:rPr>
          <w:rFonts w:hint="eastAsia" w:ascii="楷体_GB2312" w:hAnsi="楷体" w:eastAsia="楷体_GB2312" w:cs="宋体"/>
          <w:b/>
          <w:color w:val="000000" w:themeColor="text1"/>
          <w:lang w:eastAsia="zh-CN"/>
        </w:rPr>
      </w:pPr>
      <w:r>
        <w:rPr>
          <w:rFonts w:hint="eastAsia" w:ascii="楷体_GB2312" w:hAnsi="楷体" w:eastAsia="楷体_GB2312" w:cs="宋体"/>
          <w:b/>
          <w:color w:val="000000" w:themeColor="text1"/>
          <w:lang w:eastAsia="zh-CN"/>
        </w:rPr>
        <w:t>创新优化完善信息公开平台</w:t>
      </w:r>
    </w:p>
    <w:p>
      <w:pPr>
        <w:keepNext w:val="0"/>
        <w:keepLines w:val="0"/>
        <w:pageBreakBefore w:val="0"/>
        <w:widowControl w:val="0"/>
        <w:kinsoku/>
        <w:wordWrap/>
        <w:overflowPunct/>
        <w:topLinePunct w:val="0"/>
        <w:autoSpaceDE/>
        <w:autoSpaceDN/>
        <w:bidi w:val="0"/>
        <w:snapToGrid/>
        <w:spacing w:line="570" w:lineRule="exact"/>
        <w:ind w:firstLine="640" w:firstLineChars="200"/>
        <w:jc w:val="both"/>
        <w:textAlignment w:val="auto"/>
        <w:rPr>
          <w:rFonts w:hint="eastAsia" w:ascii="楷体_GB2312" w:hAnsi="楷体" w:eastAsia="楷体_GB2312" w:cs="宋体"/>
          <w:b/>
          <w:color w:val="000000" w:themeColor="text1"/>
          <w:lang w:eastAsia="zh-CN"/>
        </w:rPr>
      </w:pPr>
      <w:r>
        <w:rPr>
          <w:rFonts w:hint="eastAsia" w:ascii="Times New Roman" w:hAnsi="Times New Roman" w:eastAsia="仿宋_GB2312" w:cs="仿宋_GB2312"/>
          <w:color w:val="000000"/>
          <w:sz w:val="32"/>
          <w:szCs w:val="32"/>
          <w:u w:val="none"/>
        </w:rPr>
        <w:t>聚焦“四精”，坚持不懈强征管、优服务、促发展</w:t>
      </w:r>
      <w:r>
        <w:rPr>
          <w:rFonts w:hint="eastAsia" w:ascii="Times New Roman" w:hAnsi="Times New Roman"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eastAsia="zh-CN"/>
        </w:rPr>
        <w:t>以纳税人缴费人需求为导向，创新完善公开平台建设，</w:t>
      </w:r>
      <w:r>
        <w:rPr>
          <w:rFonts w:hint="eastAsia" w:ascii="仿宋_GB2312" w:hAnsi="仿宋_GB2312" w:eastAsia="仿宋_GB2312" w:cs="仿宋_GB2312"/>
          <w:color w:val="000000"/>
          <w:sz w:val="32"/>
          <w:szCs w:val="32"/>
          <w:u w:val="none"/>
        </w:rPr>
        <w:t>确保</w:t>
      </w:r>
      <w:r>
        <w:rPr>
          <w:rFonts w:hint="eastAsia" w:ascii="仿宋_GB2312" w:hAnsi="仿宋_GB2312" w:eastAsia="仿宋_GB2312" w:cs="仿宋_GB2312"/>
          <w:color w:val="000000"/>
          <w:sz w:val="32"/>
          <w:szCs w:val="32"/>
          <w:u w:val="none"/>
          <w:lang w:eastAsia="zh-CN"/>
        </w:rPr>
        <w:t>相关优惠政策信息</w:t>
      </w:r>
      <w:r>
        <w:rPr>
          <w:rFonts w:hint="eastAsia" w:ascii="仿宋_GB2312" w:hAnsi="仿宋_GB2312" w:eastAsia="仿宋_GB2312" w:cs="仿宋_GB2312"/>
          <w:color w:val="000000"/>
          <w:sz w:val="32"/>
          <w:szCs w:val="32"/>
          <w:u w:val="none"/>
        </w:rPr>
        <w:t>直达快享</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bCs/>
          <w:color w:val="000000"/>
          <w:sz w:val="32"/>
          <w:szCs w:val="32"/>
          <w:u w:val="none"/>
        </w:rPr>
        <w:t>打造</w:t>
      </w:r>
      <w:r>
        <w:rPr>
          <w:rFonts w:hint="eastAsia" w:ascii="仿宋_GB2312" w:hAnsi="仿宋_GB2312" w:eastAsia="仿宋_GB2312" w:cs="仿宋_GB2312"/>
          <w:bCs/>
          <w:color w:val="000000"/>
          <w:sz w:val="32"/>
          <w:szCs w:val="32"/>
          <w:u w:val="none"/>
          <w:lang w:val="en-US" w:eastAsia="zh-CN"/>
        </w:rPr>
        <w:t>的</w:t>
      </w:r>
      <w:r>
        <w:rPr>
          <w:rFonts w:hint="eastAsia" w:ascii="仿宋_GB2312" w:hAnsi="仿宋_GB2312" w:eastAsia="仿宋_GB2312" w:cs="仿宋_GB2312"/>
          <w:bCs/>
          <w:color w:val="000000"/>
          <w:sz w:val="32"/>
          <w:szCs w:val="32"/>
          <w:u w:val="none"/>
        </w:rPr>
        <w:t>全国首个融汇智能办税、银税互动、维权暖民等多功能集一体的“税银工一体化智慧服务厅”，通过设置</w:t>
      </w:r>
      <w:r>
        <w:rPr>
          <w:rFonts w:hint="eastAsia" w:ascii="仿宋_GB2312" w:hAnsi="仿宋_GB2312" w:eastAsia="仿宋_GB2312" w:cs="仿宋_GB2312"/>
          <w:bCs/>
          <w:color w:val="000000"/>
          <w:sz w:val="32"/>
          <w:szCs w:val="32"/>
          <w:u w:val="none"/>
          <w:lang w:eastAsia="zh-CN"/>
        </w:rPr>
        <w:t>自助</w:t>
      </w:r>
      <w:r>
        <w:rPr>
          <w:rFonts w:hint="eastAsia" w:ascii="仿宋_GB2312" w:hAnsi="仿宋_GB2312" w:eastAsia="仿宋_GB2312" w:cs="仿宋_GB2312"/>
          <w:bCs/>
          <w:color w:val="000000"/>
          <w:sz w:val="32"/>
          <w:szCs w:val="32"/>
          <w:u w:val="none"/>
        </w:rPr>
        <w:t>咨询</w:t>
      </w:r>
      <w:r>
        <w:rPr>
          <w:rFonts w:hint="eastAsia" w:ascii="仿宋_GB2312" w:hAnsi="仿宋_GB2312" w:eastAsia="仿宋_GB2312" w:cs="仿宋_GB2312"/>
          <w:bCs/>
          <w:color w:val="000000"/>
          <w:sz w:val="32"/>
          <w:szCs w:val="32"/>
          <w:u w:val="none"/>
          <w:lang w:eastAsia="zh-CN"/>
        </w:rPr>
        <w:t>服务设备、大数据信息收集</w:t>
      </w:r>
      <w:r>
        <w:rPr>
          <w:rFonts w:hint="eastAsia" w:ascii="仿宋_GB2312" w:hAnsi="仿宋_GB2312" w:eastAsia="仿宋_GB2312" w:cs="仿宋_GB2312"/>
          <w:bCs/>
          <w:color w:val="000000"/>
          <w:sz w:val="32"/>
          <w:szCs w:val="32"/>
          <w:u w:val="none"/>
        </w:rPr>
        <w:t>等形式，将政府信息公开工作内容向社会各个领域、各个层面进行公开</w:t>
      </w:r>
      <w:r>
        <w:rPr>
          <w:rFonts w:hint="eastAsia" w:ascii="仿宋_GB2312" w:hAnsi="仿宋_GB2312" w:eastAsia="仿宋_GB2312" w:cs="仿宋_GB2312"/>
          <w:bCs/>
          <w:color w:val="000000"/>
          <w:sz w:val="32"/>
          <w:szCs w:val="32"/>
          <w:u w:val="none"/>
          <w:lang w:eastAsia="zh-CN"/>
        </w:rPr>
        <w:t>，对重点政策能够</w:t>
      </w:r>
      <w:r>
        <w:rPr>
          <w:rFonts w:hint="eastAsia" w:ascii="仿宋_GB2312" w:hAnsi="仿宋_GB2312" w:eastAsia="仿宋_GB2312" w:cs="仿宋_GB2312"/>
          <w:bCs/>
          <w:color w:val="000000"/>
          <w:sz w:val="32"/>
          <w:szCs w:val="32"/>
          <w:u w:val="none"/>
          <w:lang w:val="en-US" w:eastAsia="zh-CN"/>
        </w:rPr>
        <w:t>24小时无限制</w:t>
      </w:r>
      <w:r>
        <w:rPr>
          <w:rFonts w:hint="eastAsia" w:ascii="仿宋_GB2312" w:hAnsi="仿宋_GB2312" w:eastAsia="仿宋_GB2312" w:cs="仿宋_GB2312"/>
          <w:bCs/>
          <w:color w:val="000000"/>
          <w:sz w:val="32"/>
          <w:szCs w:val="32"/>
          <w:u w:val="none"/>
          <w:lang w:eastAsia="zh-CN"/>
        </w:rPr>
        <w:t>自助解读，</w:t>
      </w:r>
      <w:r>
        <w:rPr>
          <w:rFonts w:hint="eastAsia" w:ascii="仿宋_GB2312" w:hAnsi="仿宋_GB2312" w:eastAsia="仿宋_GB2312" w:cs="仿宋_GB2312"/>
          <w:bCs/>
          <w:color w:val="000000"/>
          <w:sz w:val="32"/>
          <w:szCs w:val="32"/>
          <w:u w:val="none"/>
        </w:rPr>
        <w:t>有效提升纳税人缴费人获得感</w:t>
      </w:r>
      <w:r>
        <w:rPr>
          <w:rFonts w:hint="eastAsia" w:ascii="仿宋_GB2312" w:hAnsi="仿宋_GB2312" w:eastAsia="仿宋_GB2312" w:cs="仿宋_GB2312"/>
          <w:bCs/>
          <w:color w:val="000000"/>
          <w:sz w:val="32"/>
          <w:szCs w:val="32"/>
          <w:u w:val="none"/>
          <w:lang w:val="en-US" w:eastAsia="zh-CN"/>
        </w:rPr>
        <w:t>,2021年度有效服务纳税人缴费人900余人次</w:t>
      </w:r>
      <w:r>
        <w:rPr>
          <w:rFonts w:hint="eastAsia" w:ascii="仿宋_GB2312" w:hAnsi="仿宋_GB2312" w:eastAsia="仿宋_GB2312" w:cs="仿宋_GB2312"/>
          <w:bCs/>
          <w:color w:val="000000"/>
          <w:sz w:val="32"/>
          <w:szCs w:val="32"/>
          <w:u w:val="none"/>
        </w:rPr>
        <w:t>。</w:t>
      </w:r>
    </w:p>
    <w:p>
      <w:pPr>
        <w:pStyle w:val="12"/>
        <w:spacing w:line="570" w:lineRule="exact"/>
        <w:ind w:firstLine="643"/>
        <w:rPr>
          <w:rFonts w:hint="eastAsia" w:ascii="楷体_GB2312" w:hAnsi="仿宋_GB2312" w:eastAsia="楷体_GB2312" w:cs="仿宋_GB2312"/>
          <w:b/>
          <w:color w:val="000000" w:themeColor="text1"/>
          <w:szCs w:val="32"/>
          <w:lang w:eastAsia="zh-CN"/>
        </w:rPr>
      </w:pPr>
      <w:r>
        <w:rPr>
          <w:rFonts w:hint="eastAsia" w:ascii="楷体_GB2312" w:hAnsi="楷体" w:eastAsia="楷体_GB2312" w:cs="宋体"/>
          <w:b/>
          <w:color w:val="000000" w:themeColor="text1"/>
        </w:rPr>
        <w:t>（三）</w:t>
      </w:r>
      <w:r>
        <w:rPr>
          <w:rFonts w:hint="eastAsia" w:ascii="楷体_GB2312" w:hAnsi="仿宋_GB2312" w:eastAsia="楷体_GB2312" w:cs="仿宋_GB2312"/>
          <w:b/>
          <w:color w:val="000000" w:themeColor="text1"/>
          <w:szCs w:val="32"/>
          <w:lang w:eastAsia="zh-CN"/>
        </w:rPr>
        <w:t>健全信息公开监督保障机制</w:t>
      </w:r>
    </w:p>
    <w:p>
      <w:pPr>
        <w:pStyle w:val="12"/>
        <w:spacing w:line="570" w:lineRule="exact"/>
        <w:ind w:firstLine="643"/>
        <w:rPr>
          <w:rFonts w:ascii="仿宋_GB2312" w:hAnsi="宋体" w:eastAsia="仿宋_GB2312" w:cs="宋体"/>
          <w:color w:val="000000" w:themeColor="text1"/>
          <w:szCs w:val="32"/>
        </w:rPr>
      </w:pPr>
      <w:r>
        <w:rPr>
          <w:rFonts w:hint="eastAsia" w:ascii="仿宋_GB2312" w:eastAsia="仿宋_GB2312"/>
          <w:color w:val="000000" w:themeColor="text1"/>
          <w:spacing w:val="4"/>
          <w:szCs w:val="32"/>
          <w:lang w:eastAsia="zh-CN"/>
        </w:rPr>
        <w:t>建立完善相应工作制度，加强对《条例》落实情况的监督检查。</w:t>
      </w:r>
      <w:r>
        <w:rPr>
          <w:rFonts w:hint="eastAsia" w:ascii="仿宋_GB2312" w:eastAsia="仿宋_GB2312"/>
          <w:b/>
          <w:bCs/>
          <w:color w:val="000000" w:themeColor="text1"/>
          <w:spacing w:val="4"/>
          <w:szCs w:val="32"/>
          <w:lang w:eastAsia="zh-CN"/>
        </w:rPr>
        <w:t>一是</w:t>
      </w:r>
      <w:r>
        <w:rPr>
          <w:rFonts w:hint="eastAsia" w:ascii="仿宋_GB2312" w:eastAsia="仿宋_GB2312"/>
          <w:color w:val="000000" w:themeColor="text1"/>
          <w:spacing w:val="4"/>
          <w:szCs w:val="32"/>
        </w:rPr>
        <w:t>区局按照上级局和区政府关于政府信息公开工作的要求，</w:t>
      </w:r>
      <w:r>
        <w:rPr>
          <w:rFonts w:hint="eastAsia" w:ascii="仿宋_GB2312" w:eastAsia="仿宋_GB2312"/>
          <w:color w:val="000000" w:themeColor="text1"/>
          <w:spacing w:val="4"/>
          <w:szCs w:val="32"/>
          <w:lang w:eastAsia="zh-CN"/>
        </w:rPr>
        <w:t>全面梳理公开的范围和内容，</w:t>
      </w:r>
      <w:r>
        <w:rPr>
          <w:rFonts w:hint="eastAsia" w:ascii="仿宋_GB2312" w:hAnsi="Calibri" w:eastAsia="仿宋_GB2312" w:cs="Times New Roman"/>
          <w:color w:val="000000" w:themeColor="text1"/>
          <w:spacing w:val="4"/>
          <w:sz w:val="32"/>
          <w:szCs w:val="32"/>
        </w:rPr>
        <w:t>建立政府信息主动公开工作机制，明确职责、程序、公开方式和时限要求</w:t>
      </w:r>
      <w:r>
        <w:rPr>
          <w:rFonts w:hint="eastAsia" w:ascii="仿宋_GB2312" w:eastAsia="仿宋_GB2312" w:cs="Times New Roman"/>
          <w:color w:val="000000" w:themeColor="text1"/>
          <w:spacing w:val="4"/>
          <w:sz w:val="32"/>
          <w:szCs w:val="32"/>
          <w:lang w:eastAsia="zh-CN"/>
        </w:rPr>
        <w:t>，已规范工作流程，保障政府信息公开工作的扎实推进。</w:t>
      </w:r>
      <w:r>
        <w:rPr>
          <w:rFonts w:hint="eastAsia" w:ascii="仿宋_GB2312" w:eastAsia="仿宋_GB2312" w:cs="Times New Roman"/>
          <w:b/>
          <w:bCs/>
          <w:color w:val="000000" w:themeColor="text1"/>
          <w:spacing w:val="4"/>
          <w:sz w:val="32"/>
          <w:szCs w:val="32"/>
          <w:lang w:eastAsia="zh-CN"/>
        </w:rPr>
        <w:t>二是</w:t>
      </w:r>
      <w:r>
        <w:rPr>
          <w:rFonts w:hint="eastAsia" w:ascii="仿宋_GB2312" w:eastAsia="仿宋_GB2312" w:cs="Times New Roman"/>
          <w:color w:val="000000" w:themeColor="text1"/>
          <w:spacing w:val="4"/>
          <w:sz w:val="32"/>
          <w:szCs w:val="32"/>
          <w:lang w:eastAsia="zh-CN"/>
        </w:rPr>
        <w:t>切实组织开展培训学习，区局</w:t>
      </w:r>
      <w:r>
        <w:rPr>
          <w:rFonts w:hint="eastAsia" w:ascii="仿宋_GB2312" w:hAnsi="楷体" w:eastAsia="仿宋_GB2312" w:cs="宋体"/>
          <w:color w:val="000000" w:themeColor="text1"/>
          <w:szCs w:val="32"/>
          <w:lang w:eastAsia="zh-CN"/>
        </w:rPr>
        <w:t>相关业务</w:t>
      </w:r>
      <w:r>
        <w:rPr>
          <w:rFonts w:hint="eastAsia" w:ascii="仿宋_GB2312" w:hAnsi="楷体" w:eastAsia="仿宋_GB2312" w:cs="宋体"/>
          <w:color w:val="000000" w:themeColor="text1"/>
          <w:szCs w:val="32"/>
        </w:rPr>
        <w:t>工作人员积极参加区政府组织的政务公开、政府信息公开工作专题培训，及时了解新政策；通过微信交流群向电子政务办公室等其他单位工作人员学习交流</w:t>
      </w:r>
      <w:r>
        <w:rPr>
          <w:rFonts w:hint="eastAsia" w:ascii="仿宋_GB2312" w:hAnsi="宋体" w:eastAsia="仿宋_GB2312" w:cs="宋体"/>
          <w:color w:val="000000" w:themeColor="text1"/>
          <w:szCs w:val="32"/>
        </w:rPr>
        <w:t>先进经验，解决日常工作中遇到的问题。一年来，具体负责政府信息公开工作的工作人员业务素养、工作能力得到明显提升。</w:t>
      </w:r>
      <w:r>
        <w:rPr>
          <w:rFonts w:hint="eastAsia" w:ascii="仿宋_GB2312" w:hAnsi="宋体" w:eastAsia="仿宋_GB2312" w:cs="宋体"/>
          <w:b/>
          <w:bCs/>
          <w:color w:val="000000" w:themeColor="text1"/>
          <w:szCs w:val="32"/>
          <w:lang w:eastAsia="zh-CN"/>
        </w:rPr>
        <w:t>三是</w:t>
      </w:r>
      <w:r>
        <w:rPr>
          <w:rFonts w:hint="eastAsia" w:ascii="仿宋_GB2312" w:eastAsia="仿宋_GB2312"/>
          <w:color w:val="000000" w:themeColor="text1"/>
          <w:spacing w:val="4"/>
          <w:szCs w:val="32"/>
        </w:rPr>
        <w:t>及时准确地将政府信息公开工作内容，如部门职能、内设机构，对外公开，设立了相关的举报监督电话和联系方式，保证了政府信息公开工作内容的全面性、真实性和公正性。通过全方位的政府信息公开工作，区局的工作作风明显转变，服务职能得到加强，办事程序更加简化，办事效率明显提高，进一步提高了社会各界对区局工作的满意度。</w:t>
      </w:r>
    </w:p>
    <w:p>
      <w:pPr>
        <w:pStyle w:val="12"/>
        <w:spacing w:line="400" w:lineRule="exact"/>
        <w:ind w:firstLine="600"/>
        <w:rPr>
          <w:rFonts w:ascii="宋体" w:hAnsi="宋体" w:cs="宋体"/>
          <w:color w:val="000000" w:themeColor="text1"/>
        </w:rPr>
      </w:pPr>
      <w:r>
        <w:rPr>
          <w:rFonts w:hint="eastAsia" w:ascii="黑体" w:hAnsi="黑体" w:eastAsia="黑体" w:cs="宋体"/>
          <w:color w:val="000000" w:themeColor="text1"/>
          <w:sz w:val="30"/>
          <w:szCs w:val="30"/>
        </w:rPr>
        <w:t>二、主动公开政府信息情况</w:t>
      </w:r>
      <w:r>
        <w:rPr>
          <w:rFonts w:hint="eastAsia" w:ascii="黑体" w:hAnsi="黑体" w:eastAsia="黑体" w:cs="宋体"/>
          <w:color w:val="000000" w:themeColor="text1"/>
        </w:rPr>
        <w:t>  </w:t>
      </w:r>
      <w:r>
        <w:rPr>
          <w:rFonts w:hint="eastAsia" w:ascii="宋体" w:hAnsi="宋体" w:cs="宋体"/>
          <w:color w:val="000000" w:themeColor="text1"/>
        </w:rPr>
        <w:t> </w:t>
      </w:r>
    </w:p>
    <w:tbl>
      <w:tblPr>
        <w:tblStyle w:val="7"/>
        <w:tblW w:w="8550" w:type="dxa"/>
        <w:jc w:val="center"/>
        <w:tblLayout w:type="fixed"/>
        <w:tblCellMar>
          <w:top w:w="0" w:type="dxa"/>
          <w:left w:w="0" w:type="dxa"/>
          <w:bottom w:w="0" w:type="dxa"/>
          <w:right w:w="0" w:type="dxa"/>
        </w:tblCellMar>
      </w:tblPr>
      <w:tblGrid>
        <w:gridCol w:w="3150"/>
        <w:gridCol w:w="2080"/>
        <w:gridCol w:w="1505"/>
        <w:gridCol w:w="1815"/>
      </w:tblGrid>
      <w:tr>
        <w:tblPrEx>
          <w:tblCellMar>
            <w:top w:w="0" w:type="dxa"/>
            <w:left w:w="0" w:type="dxa"/>
            <w:bottom w:w="0" w:type="dxa"/>
            <w:right w:w="0" w:type="dxa"/>
          </w:tblCellMar>
        </w:tblPrEx>
        <w:trPr>
          <w:trHeight w:val="347" w:hRule="atLeast"/>
          <w:jc w:val="center"/>
        </w:trPr>
        <w:tc>
          <w:tcPr>
            <w:tcW w:w="855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第二十条第（一）项</w:t>
            </w:r>
          </w:p>
        </w:tc>
      </w:tr>
      <w:tr>
        <w:tblPrEx>
          <w:tblCellMar>
            <w:top w:w="0" w:type="dxa"/>
            <w:left w:w="0" w:type="dxa"/>
            <w:bottom w:w="0" w:type="dxa"/>
            <w:right w:w="0" w:type="dxa"/>
          </w:tblCellMar>
        </w:tblPrEx>
        <w:trPr>
          <w:trHeight w:val="618"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信息内容</w:t>
            </w:r>
          </w:p>
        </w:tc>
        <w:tc>
          <w:tcPr>
            <w:tcW w:w="2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eastAsia" w:ascii="微软雅黑" w:hAnsi="微软雅黑" w:eastAsiaTheme="minorEastAsia"/>
                <w:color w:val="000000" w:themeColor="text1"/>
                <w:szCs w:val="21"/>
                <w:lang w:eastAsia="zh-CN"/>
              </w:rPr>
            </w:pPr>
            <w:r>
              <w:rPr>
                <w:rFonts w:hint="eastAsia"/>
                <w:color w:val="000000" w:themeColor="text1"/>
                <w:szCs w:val="21"/>
              </w:rPr>
              <w:t>本年制</w:t>
            </w:r>
            <w:r>
              <w:rPr>
                <w:rFonts w:hint="eastAsia"/>
                <w:color w:val="000000" w:themeColor="text1"/>
                <w:szCs w:val="21"/>
                <w:lang w:eastAsia="zh-CN"/>
              </w:rPr>
              <w:t>发件数</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本年</w:t>
            </w:r>
            <w:r>
              <w:rPr>
                <w:rFonts w:hint="eastAsia"/>
                <w:color w:val="000000" w:themeColor="text1"/>
                <w:szCs w:val="21"/>
                <w:lang w:eastAsia="zh-CN"/>
              </w:rPr>
              <w:t>废止件数</w:t>
            </w:r>
          </w:p>
        </w:tc>
        <w:tc>
          <w:tcPr>
            <w:tcW w:w="1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eastAsia" w:ascii="微软雅黑" w:hAnsi="微软雅黑" w:eastAsia="微软雅黑"/>
                <w:color w:val="000000" w:themeColor="text1"/>
                <w:szCs w:val="21"/>
                <w:lang w:eastAsia="zh-CN"/>
              </w:rPr>
            </w:pPr>
            <w:r>
              <w:rPr>
                <w:rFonts w:hint="eastAsia"/>
                <w:color w:val="000000" w:themeColor="text1"/>
                <w:szCs w:val="21"/>
                <w:lang w:eastAsia="zh-CN"/>
              </w:rPr>
              <w:t>现行有效件数</w:t>
            </w:r>
          </w:p>
        </w:tc>
      </w:tr>
      <w:tr>
        <w:tblPrEx>
          <w:tblCellMar>
            <w:top w:w="0" w:type="dxa"/>
            <w:left w:w="0" w:type="dxa"/>
            <w:bottom w:w="0" w:type="dxa"/>
            <w:right w:w="0" w:type="dxa"/>
          </w:tblCellMar>
        </w:tblPrEx>
        <w:trPr>
          <w:trHeight w:val="367"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rPr>
                <w:rFonts w:ascii="微软雅黑" w:hAnsi="微软雅黑" w:eastAsia="微软雅黑"/>
                <w:color w:val="000000" w:themeColor="text1"/>
                <w:szCs w:val="21"/>
              </w:rPr>
            </w:pPr>
            <w:r>
              <w:rPr>
                <w:rFonts w:hint="eastAsia"/>
                <w:color w:val="000000" w:themeColor="text1"/>
                <w:szCs w:val="21"/>
              </w:rPr>
              <w:t>规章</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c>
          <w:tcPr>
            <w:tcW w:w="1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r>
      <w:tr>
        <w:tblPrEx>
          <w:tblCellMar>
            <w:top w:w="0" w:type="dxa"/>
            <w:left w:w="0" w:type="dxa"/>
            <w:bottom w:w="0" w:type="dxa"/>
            <w:right w:w="0" w:type="dxa"/>
          </w:tblCellMar>
        </w:tblPrEx>
        <w:trPr>
          <w:trHeight w:val="330"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rPr>
                <w:rFonts w:ascii="微软雅黑" w:hAnsi="微软雅黑" w:eastAsia="微软雅黑"/>
                <w:color w:val="000000" w:themeColor="text1"/>
                <w:szCs w:val="21"/>
              </w:rPr>
            </w:pPr>
            <w:r>
              <w:rPr>
                <w:rFonts w:hint="eastAsia"/>
                <w:color w:val="000000" w:themeColor="text1"/>
                <w:szCs w:val="21"/>
                <w:lang w:eastAsia="zh-CN"/>
              </w:rPr>
              <w:t>行政</w:t>
            </w:r>
            <w:r>
              <w:rPr>
                <w:rFonts w:hint="eastAsia"/>
                <w:color w:val="000000" w:themeColor="text1"/>
                <w:szCs w:val="21"/>
              </w:rPr>
              <w:t>规范性文件</w:t>
            </w:r>
          </w:p>
        </w:tc>
        <w:tc>
          <w:tcPr>
            <w:tcW w:w="2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c>
          <w:tcPr>
            <w:tcW w:w="1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r>
      <w:tr>
        <w:tblPrEx>
          <w:tblCellMar>
            <w:top w:w="0" w:type="dxa"/>
            <w:left w:w="0" w:type="dxa"/>
            <w:bottom w:w="0" w:type="dxa"/>
            <w:right w:w="0" w:type="dxa"/>
          </w:tblCellMar>
        </w:tblPrEx>
        <w:trPr>
          <w:trHeight w:val="336" w:hRule="atLeast"/>
          <w:jc w:val="center"/>
        </w:trPr>
        <w:tc>
          <w:tcPr>
            <w:tcW w:w="855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第二十条第（五）项</w:t>
            </w:r>
          </w:p>
        </w:tc>
      </w:tr>
      <w:tr>
        <w:tblPrEx>
          <w:tblCellMar>
            <w:top w:w="0" w:type="dxa"/>
            <w:left w:w="0" w:type="dxa"/>
            <w:bottom w:w="0" w:type="dxa"/>
            <w:right w:w="0" w:type="dxa"/>
          </w:tblCellMar>
        </w:tblPrEx>
        <w:trPr>
          <w:trHeight w:val="445"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信息内容</w:t>
            </w:r>
          </w:p>
        </w:tc>
        <w:tc>
          <w:tcPr>
            <w:tcW w:w="540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lang w:eastAsia="zh-CN"/>
              </w:rPr>
              <w:t>本年</w:t>
            </w:r>
            <w:r>
              <w:rPr>
                <w:rFonts w:hint="eastAsia"/>
                <w:color w:val="000000" w:themeColor="text1"/>
                <w:szCs w:val="21"/>
              </w:rPr>
              <w:t>处理决定数量</w:t>
            </w:r>
          </w:p>
        </w:tc>
      </w:tr>
      <w:tr>
        <w:tblPrEx>
          <w:tblCellMar>
            <w:top w:w="0" w:type="dxa"/>
            <w:left w:w="0" w:type="dxa"/>
            <w:bottom w:w="0" w:type="dxa"/>
            <w:right w:w="0" w:type="dxa"/>
          </w:tblCellMar>
        </w:tblPrEx>
        <w:trPr>
          <w:trHeight w:val="370" w:hRule="atLeast"/>
          <w:jc w:val="center"/>
        </w:trPr>
        <w:tc>
          <w:tcPr>
            <w:tcW w:w="3150" w:type="dxa"/>
            <w:tcBorders>
              <w:top w:val="nil"/>
              <w:left w:val="single" w:color="auto" w:sz="8" w:space="0"/>
              <w:bottom w:val="single" w:color="auto" w:sz="8" w:space="0"/>
              <w:right w:val="single" w:color="auto" w:sz="8" w:space="0"/>
            </w:tcBorders>
            <w:shd w:val="clear" w:color="auto" w:fill="FFFFFF"/>
            <w:vAlign w:val="center"/>
          </w:tcPr>
          <w:p>
            <w:pPr>
              <w:spacing w:line="440" w:lineRule="exact"/>
              <w:jc w:val="both"/>
              <w:rPr>
                <w:rFonts w:ascii="微软雅黑" w:hAnsi="微软雅黑" w:eastAsia="微软雅黑"/>
                <w:color w:val="000000" w:themeColor="text1"/>
                <w:szCs w:val="21"/>
              </w:rPr>
            </w:pPr>
            <w:r>
              <w:rPr>
                <w:rFonts w:hint="eastAsia"/>
                <w:color w:val="000000" w:themeColor="text1"/>
                <w:szCs w:val="21"/>
                <w:lang w:eastAsia="zh-CN"/>
              </w:rPr>
              <w:t>行政许可</w:t>
            </w:r>
          </w:p>
        </w:tc>
        <w:tc>
          <w:tcPr>
            <w:tcW w:w="540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default" w:ascii="微软雅黑" w:hAnsi="微软雅黑" w:eastAsia="微软雅黑"/>
                <w:color w:val="000000" w:themeColor="text1"/>
                <w:szCs w:val="21"/>
                <w:lang w:val="en-US" w:eastAsia="zh-CN"/>
              </w:rPr>
            </w:pPr>
            <w:r>
              <w:rPr>
                <w:rFonts w:hint="eastAsia" w:ascii="微软雅黑" w:hAnsi="微软雅黑" w:eastAsia="微软雅黑"/>
                <w:color w:val="000000" w:themeColor="text1"/>
                <w:szCs w:val="21"/>
                <w:lang w:val="en-US" w:eastAsia="zh-CN"/>
              </w:rPr>
              <w:t>1160</w:t>
            </w:r>
          </w:p>
        </w:tc>
      </w:tr>
      <w:tr>
        <w:tblPrEx>
          <w:tblCellMar>
            <w:top w:w="0" w:type="dxa"/>
            <w:left w:w="0" w:type="dxa"/>
            <w:bottom w:w="0" w:type="dxa"/>
            <w:right w:w="0" w:type="dxa"/>
          </w:tblCellMar>
        </w:tblPrEx>
        <w:trPr>
          <w:trHeight w:val="284" w:hRule="atLeast"/>
          <w:jc w:val="center"/>
        </w:trPr>
        <w:tc>
          <w:tcPr>
            <w:tcW w:w="855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第二十条第（六）项</w:t>
            </w:r>
          </w:p>
        </w:tc>
      </w:tr>
      <w:tr>
        <w:tblPrEx>
          <w:tblCellMar>
            <w:top w:w="0" w:type="dxa"/>
            <w:left w:w="0" w:type="dxa"/>
            <w:bottom w:w="0" w:type="dxa"/>
            <w:right w:w="0" w:type="dxa"/>
          </w:tblCellMar>
        </w:tblPrEx>
        <w:trPr>
          <w:trHeight w:val="445"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信息内容</w:t>
            </w:r>
          </w:p>
        </w:tc>
        <w:tc>
          <w:tcPr>
            <w:tcW w:w="540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lang w:eastAsia="zh-CN"/>
              </w:rPr>
              <w:t>本年</w:t>
            </w:r>
            <w:r>
              <w:rPr>
                <w:rFonts w:hint="eastAsia"/>
                <w:color w:val="000000" w:themeColor="text1"/>
                <w:szCs w:val="21"/>
              </w:rPr>
              <w:t>处理决定数量</w:t>
            </w:r>
          </w:p>
        </w:tc>
      </w:tr>
      <w:tr>
        <w:tblPrEx>
          <w:tblCellMar>
            <w:top w:w="0" w:type="dxa"/>
            <w:left w:w="0" w:type="dxa"/>
            <w:bottom w:w="0" w:type="dxa"/>
            <w:right w:w="0" w:type="dxa"/>
          </w:tblCellMar>
        </w:tblPrEx>
        <w:trPr>
          <w:trHeight w:val="302" w:hRule="atLeast"/>
          <w:jc w:val="center"/>
        </w:trPr>
        <w:tc>
          <w:tcPr>
            <w:tcW w:w="3150" w:type="dxa"/>
            <w:tcBorders>
              <w:top w:val="nil"/>
              <w:left w:val="single" w:color="auto" w:sz="8" w:space="0"/>
              <w:bottom w:val="single" w:color="auto" w:sz="8" w:space="0"/>
              <w:right w:val="single" w:color="auto" w:sz="8" w:space="0"/>
            </w:tcBorders>
            <w:shd w:val="clear" w:color="auto" w:fill="FFFFFF"/>
            <w:vAlign w:val="center"/>
          </w:tcPr>
          <w:p>
            <w:pPr>
              <w:spacing w:line="440" w:lineRule="exact"/>
              <w:rPr>
                <w:rFonts w:ascii="微软雅黑" w:hAnsi="微软雅黑" w:eastAsia="微软雅黑"/>
                <w:color w:val="000000" w:themeColor="text1"/>
                <w:szCs w:val="21"/>
              </w:rPr>
            </w:pPr>
            <w:r>
              <w:rPr>
                <w:rFonts w:hint="eastAsia"/>
                <w:color w:val="000000" w:themeColor="text1"/>
                <w:szCs w:val="21"/>
              </w:rPr>
              <w:t>行政处罚</w:t>
            </w:r>
          </w:p>
        </w:tc>
        <w:tc>
          <w:tcPr>
            <w:tcW w:w="540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default" w:ascii="微软雅黑" w:hAnsi="微软雅黑" w:eastAsia="微软雅黑"/>
                <w:color w:val="000000" w:themeColor="text1"/>
                <w:szCs w:val="21"/>
                <w:lang w:val="en-US" w:eastAsia="zh-CN"/>
              </w:rPr>
            </w:pPr>
            <w:r>
              <w:rPr>
                <w:rFonts w:hint="eastAsia" w:ascii="微软雅黑" w:hAnsi="微软雅黑" w:eastAsia="微软雅黑"/>
                <w:color w:val="000000" w:themeColor="text1"/>
                <w:szCs w:val="21"/>
                <w:lang w:val="en-US" w:eastAsia="zh-CN"/>
              </w:rPr>
              <w:t>487</w:t>
            </w:r>
          </w:p>
        </w:tc>
      </w:tr>
      <w:tr>
        <w:tblPrEx>
          <w:tblCellMar>
            <w:top w:w="0" w:type="dxa"/>
            <w:left w:w="0" w:type="dxa"/>
            <w:bottom w:w="0" w:type="dxa"/>
            <w:right w:w="0" w:type="dxa"/>
          </w:tblCellMar>
        </w:tblPrEx>
        <w:trPr>
          <w:trHeight w:val="287" w:hRule="atLeast"/>
          <w:jc w:val="center"/>
        </w:trPr>
        <w:tc>
          <w:tcPr>
            <w:tcW w:w="3150" w:type="dxa"/>
            <w:tcBorders>
              <w:top w:val="nil"/>
              <w:left w:val="single" w:color="auto" w:sz="8" w:space="0"/>
              <w:bottom w:val="single" w:color="auto" w:sz="8" w:space="0"/>
              <w:right w:val="single" w:color="auto" w:sz="8" w:space="0"/>
            </w:tcBorders>
            <w:shd w:val="clear" w:color="auto" w:fill="FFFFFF"/>
            <w:vAlign w:val="center"/>
          </w:tcPr>
          <w:p>
            <w:pPr>
              <w:spacing w:line="440" w:lineRule="exact"/>
              <w:rPr>
                <w:rFonts w:ascii="微软雅黑" w:hAnsi="微软雅黑" w:eastAsia="微软雅黑"/>
                <w:color w:val="000000" w:themeColor="text1"/>
                <w:szCs w:val="21"/>
              </w:rPr>
            </w:pPr>
            <w:r>
              <w:rPr>
                <w:rFonts w:hint="eastAsia"/>
                <w:color w:val="000000" w:themeColor="text1"/>
                <w:szCs w:val="21"/>
              </w:rPr>
              <w:t>行政强制</w:t>
            </w:r>
          </w:p>
        </w:tc>
        <w:tc>
          <w:tcPr>
            <w:tcW w:w="540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hint="eastAsia" w:ascii="微软雅黑" w:hAnsi="微软雅黑" w:eastAsia="微软雅黑"/>
                <w:color w:val="000000" w:themeColor="text1"/>
                <w:szCs w:val="21"/>
                <w:lang w:val="en-US" w:eastAsia="zh-CN"/>
              </w:rPr>
            </w:pPr>
            <w:r>
              <w:rPr>
                <w:rFonts w:hint="eastAsia" w:ascii="微软雅黑" w:hAnsi="微软雅黑" w:eastAsia="微软雅黑"/>
                <w:color w:val="000000" w:themeColor="text1"/>
                <w:szCs w:val="21"/>
                <w:lang w:val="en-US" w:eastAsia="zh-CN"/>
              </w:rPr>
              <w:t>0</w:t>
            </w:r>
          </w:p>
        </w:tc>
      </w:tr>
      <w:tr>
        <w:tblPrEx>
          <w:tblCellMar>
            <w:top w:w="0" w:type="dxa"/>
            <w:left w:w="0" w:type="dxa"/>
            <w:bottom w:w="0" w:type="dxa"/>
            <w:right w:w="0" w:type="dxa"/>
          </w:tblCellMar>
        </w:tblPrEx>
        <w:trPr>
          <w:trHeight w:val="333" w:hRule="atLeast"/>
          <w:jc w:val="center"/>
        </w:trPr>
        <w:tc>
          <w:tcPr>
            <w:tcW w:w="8550"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第二十条第（八）项</w:t>
            </w:r>
          </w:p>
        </w:tc>
      </w:tr>
      <w:tr>
        <w:tblPrEx>
          <w:tblCellMar>
            <w:top w:w="0" w:type="dxa"/>
            <w:left w:w="0" w:type="dxa"/>
            <w:bottom w:w="0" w:type="dxa"/>
            <w:right w:w="0" w:type="dxa"/>
          </w:tblCellMar>
        </w:tblPrEx>
        <w:trPr>
          <w:trHeight w:val="190"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信息内容</w:t>
            </w:r>
          </w:p>
        </w:tc>
        <w:tc>
          <w:tcPr>
            <w:tcW w:w="5400" w:type="dxa"/>
            <w:gridSpan w:val="3"/>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440" w:lineRule="exact"/>
              <w:jc w:val="center"/>
              <w:rPr>
                <w:rFonts w:hint="eastAsia" w:ascii="微软雅黑" w:hAnsi="微软雅黑" w:eastAsiaTheme="minorEastAsia"/>
                <w:color w:val="000000" w:themeColor="text1"/>
                <w:szCs w:val="21"/>
                <w:lang w:eastAsia="zh-CN"/>
              </w:rPr>
            </w:pPr>
            <w:r>
              <w:rPr>
                <w:rFonts w:hint="eastAsia"/>
                <w:color w:val="000000" w:themeColor="text1"/>
                <w:szCs w:val="21"/>
              </w:rPr>
              <w:t>本年</w:t>
            </w:r>
            <w:r>
              <w:rPr>
                <w:rFonts w:hint="eastAsia"/>
                <w:color w:val="000000" w:themeColor="text1"/>
                <w:szCs w:val="21"/>
                <w:lang w:eastAsia="zh-CN"/>
              </w:rPr>
              <w:t>收费金额（单位：万元）</w:t>
            </w:r>
          </w:p>
        </w:tc>
      </w:tr>
      <w:tr>
        <w:tblPrEx>
          <w:tblCellMar>
            <w:top w:w="0" w:type="dxa"/>
            <w:left w:w="0" w:type="dxa"/>
            <w:bottom w:w="0" w:type="dxa"/>
            <w:right w:w="0" w:type="dxa"/>
          </w:tblCellMar>
        </w:tblPrEx>
        <w:trPr>
          <w:trHeight w:val="386" w:hRule="atLeast"/>
          <w:jc w:val="center"/>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40" w:lineRule="exact"/>
              <w:rPr>
                <w:rFonts w:ascii="微软雅黑" w:hAnsi="微软雅黑" w:eastAsia="微软雅黑"/>
                <w:color w:val="000000" w:themeColor="text1"/>
                <w:szCs w:val="21"/>
              </w:rPr>
            </w:pPr>
            <w:r>
              <w:rPr>
                <w:rFonts w:hint="eastAsia"/>
                <w:color w:val="000000" w:themeColor="text1"/>
                <w:szCs w:val="21"/>
              </w:rPr>
              <w:t>行政事业性收费</w:t>
            </w:r>
          </w:p>
        </w:tc>
        <w:tc>
          <w:tcPr>
            <w:tcW w:w="5400"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spacing w:line="440" w:lineRule="exact"/>
              <w:jc w:val="center"/>
              <w:rPr>
                <w:rFonts w:ascii="微软雅黑" w:hAnsi="微软雅黑" w:eastAsia="微软雅黑"/>
                <w:color w:val="000000" w:themeColor="text1"/>
                <w:szCs w:val="21"/>
              </w:rPr>
            </w:pPr>
            <w:r>
              <w:rPr>
                <w:rFonts w:hint="eastAsia"/>
                <w:color w:val="000000" w:themeColor="text1"/>
                <w:szCs w:val="21"/>
              </w:rPr>
              <w:t>0</w:t>
            </w:r>
          </w:p>
        </w:tc>
      </w:tr>
    </w:tbl>
    <w:p>
      <w:pPr>
        <w:pStyle w:val="12"/>
        <w:spacing w:line="400" w:lineRule="exact"/>
        <w:ind w:left="0" w:leftChars="0" w:firstLine="0" w:firstLineChars="0"/>
        <w:rPr>
          <w:rFonts w:hint="eastAsia" w:ascii="黑体" w:hAnsi="黑体" w:eastAsia="黑体" w:cs="宋体"/>
          <w:color w:val="000000" w:themeColor="text1"/>
          <w:sz w:val="30"/>
          <w:szCs w:val="30"/>
        </w:rPr>
      </w:pPr>
    </w:p>
    <w:p>
      <w:pPr>
        <w:pStyle w:val="12"/>
        <w:spacing w:line="400" w:lineRule="exact"/>
        <w:ind w:firstLine="600"/>
        <w:rPr>
          <w:rFonts w:ascii="黑体" w:hAnsi="黑体" w:eastAsia="黑体" w:cs="宋体"/>
          <w:color w:val="000000" w:themeColor="text1"/>
          <w:sz w:val="30"/>
          <w:szCs w:val="30"/>
        </w:rPr>
      </w:pPr>
      <w:r>
        <w:rPr>
          <w:rFonts w:hint="eastAsia" w:ascii="黑体" w:hAnsi="黑体" w:eastAsia="黑体" w:cs="宋体"/>
          <w:color w:val="000000" w:themeColor="text1"/>
          <w:sz w:val="30"/>
          <w:szCs w:val="30"/>
        </w:rPr>
        <w:t>三、收到和处理政府信息公开申请情况</w:t>
      </w:r>
    </w:p>
    <w:tbl>
      <w:tblPr>
        <w:tblStyle w:val="7"/>
        <w:tblW w:w="8820" w:type="dxa"/>
        <w:jc w:val="center"/>
        <w:tblLayout w:type="fixed"/>
        <w:tblCellMar>
          <w:top w:w="0" w:type="dxa"/>
          <w:left w:w="0" w:type="dxa"/>
          <w:bottom w:w="0" w:type="dxa"/>
          <w:right w:w="0" w:type="dxa"/>
        </w:tblCellMar>
      </w:tblPr>
      <w:tblGrid>
        <w:gridCol w:w="689"/>
        <w:gridCol w:w="1029"/>
        <w:gridCol w:w="1726"/>
        <w:gridCol w:w="569"/>
        <w:gridCol w:w="855"/>
        <w:gridCol w:w="712"/>
        <w:gridCol w:w="854"/>
        <w:gridCol w:w="996"/>
        <w:gridCol w:w="712"/>
        <w:gridCol w:w="678"/>
      </w:tblGrid>
      <w:tr>
        <w:tblPrEx>
          <w:tblCellMar>
            <w:top w:w="0" w:type="dxa"/>
            <w:left w:w="0" w:type="dxa"/>
            <w:bottom w:w="0" w:type="dxa"/>
            <w:right w:w="0" w:type="dxa"/>
          </w:tblCellMar>
        </w:tblPrEx>
        <w:trPr>
          <w:trHeight w:val="109" w:hRule="atLeast"/>
          <w:jc w:val="center"/>
        </w:trPr>
        <w:tc>
          <w:tcPr>
            <w:tcW w:w="344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（本列数据的勾稽关系为：第一项加第二项之和，等于第三项加第四项之和）</w:t>
            </w:r>
          </w:p>
        </w:tc>
        <w:tc>
          <w:tcPr>
            <w:tcW w:w="537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申请人情况</w:t>
            </w:r>
          </w:p>
        </w:tc>
      </w:tr>
      <w:tr>
        <w:tblPrEx>
          <w:tblCellMar>
            <w:top w:w="0" w:type="dxa"/>
            <w:left w:w="0" w:type="dxa"/>
            <w:bottom w:w="0" w:type="dxa"/>
            <w:right w:w="0" w:type="dxa"/>
          </w:tblCellMar>
        </w:tblPrEx>
        <w:trPr>
          <w:trHeight w:val="109" w:hRule="atLeast"/>
          <w:jc w:val="center"/>
        </w:trPr>
        <w:tc>
          <w:tcPr>
            <w:tcW w:w="3444"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56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自然人</w:t>
            </w:r>
          </w:p>
        </w:tc>
        <w:tc>
          <w:tcPr>
            <w:tcW w:w="412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法人或其他组织</w:t>
            </w:r>
          </w:p>
        </w:tc>
        <w:tc>
          <w:tcPr>
            <w:tcW w:w="67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总计</w:t>
            </w:r>
          </w:p>
        </w:tc>
      </w:tr>
      <w:tr>
        <w:tblPrEx>
          <w:tblCellMar>
            <w:top w:w="0" w:type="dxa"/>
            <w:left w:w="0" w:type="dxa"/>
            <w:bottom w:w="0" w:type="dxa"/>
            <w:right w:w="0" w:type="dxa"/>
          </w:tblCellMar>
        </w:tblPrEx>
        <w:trPr>
          <w:trHeight w:val="109" w:hRule="atLeast"/>
          <w:jc w:val="center"/>
        </w:trPr>
        <w:tc>
          <w:tcPr>
            <w:tcW w:w="3444"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56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商业企业</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科研机构</w:t>
            </w:r>
          </w:p>
        </w:tc>
        <w:tc>
          <w:tcPr>
            <w:tcW w:w="8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社会公益组织</w:t>
            </w:r>
          </w:p>
        </w:tc>
        <w:tc>
          <w:tcPr>
            <w:tcW w:w="9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其他</w:t>
            </w:r>
          </w:p>
        </w:tc>
        <w:tc>
          <w:tcPr>
            <w:tcW w:w="678" w:type="dxa"/>
            <w:vMerge w:val="continue"/>
            <w:tcBorders>
              <w:top w:val="single" w:color="auto" w:sz="8" w:space="0"/>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r>
      <w:tr>
        <w:tblPrEx>
          <w:tblCellMar>
            <w:top w:w="0" w:type="dxa"/>
            <w:left w:w="0" w:type="dxa"/>
            <w:bottom w:w="0" w:type="dxa"/>
            <w:right w:w="0" w:type="dxa"/>
          </w:tblCellMar>
        </w:tblPrEx>
        <w:trPr>
          <w:trHeight w:val="244" w:hRule="atLeast"/>
          <w:jc w:val="center"/>
        </w:trPr>
        <w:tc>
          <w:tcPr>
            <w:tcW w:w="3444" w:type="dxa"/>
            <w:gridSpan w:val="3"/>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color w:val="000000" w:themeColor="text1"/>
                <w:sz w:val="20"/>
                <w:szCs w:val="20"/>
              </w:rPr>
              <w:t>一、本年新收政府信息公开申请数量</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eastAsia="微软雅黑"/>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38" w:hRule="atLeast"/>
          <w:jc w:val="center"/>
        </w:trPr>
        <w:tc>
          <w:tcPr>
            <w:tcW w:w="3444" w:type="dxa"/>
            <w:gridSpan w:val="3"/>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color w:val="000000" w:themeColor="text1"/>
                <w:sz w:val="20"/>
                <w:szCs w:val="20"/>
              </w:rPr>
              <w:t>二、上年结转政府信息公开申请数量</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r>
      <w:tr>
        <w:tblPrEx>
          <w:tblCellMar>
            <w:top w:w="0" w:type="dxa"/>
            <w:left w:w="0" w:type="dxa"/>
            <w:bottom w:w="0" w:type="dxa"/>
            <w:right w:w="0" w:type="dxa"/>
          </w:tblCellMar>
        </w:tblPrEx>
        <w:trPr>
          <w:trHeight w:val="244" w:hRule="atLeast"/>
          <w:jc w:val="center"/>
        </w:trPr>
        <w:tc>
          <w:tcPr>
            <w:tcW w:w="689" w:type="dxa"/>
            <w:vMerge w:val="restart"/>
            <w:tcBorders>
              <w:top w:val="nil"/>
              <w:left w:val="single" w:color="auto" w:sz="8" w:space="0"/>
              <w:bottom w:val="single" w:color="auto" w:sz="8" w:space="0"/>
              <w:right w:val="single" w:color="auto" w:sz="8" w:space="0"/>
            </w:tcBorders>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三、本年度办理结果</w:t>
            </w:r>
          </w:p>
        </w:tc>
        <w:tc>
          <w:tcPr>
            <w:tcW w:w="2755" w:type="dxa"/>
            <w:gridSpan w:val="2"/>
            <w:tcBorders>
              <w:top w:val="nil"/>
              <w:left w:val="nil"/>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（一）予以公开</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eastAsia="微软雅黑"/>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r>
        <w:tblPrEx>
          <w:tblCellMar>
            <w:top w:w="0" w:type="dxa"/>
            <w:left w:w="0" w:type="dxa"/>
            <w:bottom w:w="0" w:type="dxa"/>
            <w:right w:w="0" w:type="dxa"/>
          </w:tblCellMar>
        </w:tblPrEx>
        <w:trPr>
          <w:trHeight w:val="503"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2755" w:type="dxa"/>
            <w:gridSpan w:val="2"/>
            <w:tcBorders>
              <w:top w:val="nil"/>
              <w:left w:val="nil"/>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（二）部分公开（区分处理的，只计这一情形，不计其他情形）</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（三）不予公开</w:t>
            </w: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1.属于国家秘密</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2.其他法律行政法规禁止公开</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3.危及“三安全一稳定”</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4.保护第三方合法权益</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503"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5.属于三类内部事务信息</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6.属于四类过程性信息</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7.属于行政执法案卷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8.属于行政查询事项</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（四）无法提供</w:t>
            </w: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1.本机关不掌握相关政府信息</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2.没有现成信息需要另行制作</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eastAsia="微软雅黑"/>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r>
        <w:tblPrEx>
          <w:tblCellMar>
            <w:top w:w="0" w:type="dxa"/>
            <w:left w:w="0" w:type="dxa"/>
            <w:bottom w:w="0" w:type="dxa"/>
            <w:right w:w="0" w:type="dxa"/>
          </w:tblCellMar>
        </w:tblPrEx>
        <w:trPr>
          <w:trHeight w:val="503"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3.补正后申请内容仍不明确</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（五）不予处理</w:t>
            </w: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1.信访举报投诉类申请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eastAsia="微软雅黑"/>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2.重复申请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eastAsia="微软雅黑"/>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3.要求提供公开出版物</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4.无正当理由大量反复申请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top w:val="nil"/>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5.要求行政机关确认或重新出具已获取信息</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restart"/>
            <w:tcBorders>
              <w:top w:val="nil"/>
              <w:left w:val="nil"/>
              <w:right w:val="single" w:color="auto" w:sz="8" w:space="0"/>
            </w:tcBorders>
            <w:vAlign w:val="center"/>
          </w:tcPr>
          <w:p>
            <w:pPr>
              <w:spacing w:line="320" w:lineRule="exact"/>
              <w:ind w:firstLine="314" w:firstLineChars="0"/>
              <w:rPr>
                <w:rFonts w:ascii="微软雅黑" w:hAnsi="微软雅黑" w:eastAsia="微软雅黑" w:cs="宋体"/>
                <w:color w:val="000000" w:themeColor="text1"/>
                <w:sz w:val="24"/>
              </w:rPr>
            </w:pPr>
            <w:r>
              <w:rPr>
                <w:rFonts w:hint="eastAsia" w:ascii="楷体" w:hAnsi="楷体" w:eastAsia="楷体"/>
                <w:color w:val="000000" w:themeColor="text1"/>
                <w:sz w:val="20"/>
                <w:szCs w:val="20"/>
              </w:rPr>
              <w:t>（六）其他处理</w:t>
            </w: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楷体" w:hAnsi="楷体" w:eastAsia="楷体"/>
                <w:color w:val="000000" w:themeColor="text1"/>
                <w:sz w:val="20"/>
                <w:szCs w:val="20"/>
                <w:lang w:eastAsia="zh-CN"/>
              </w:rPr>
            </w:pPr>
            <w:r>
              <w:rPr>
                <w:rFonts w:hint="eastAsia" w:ascii="楷体" w:hAnsi="楷体" w:eastAsia="楷体"/>
                <w:color w:val="000000" w:themeColor="text1"/>
                <w:sz w:val="20"/>
                <w:szCs w:val="20"/>
              </w:rPr>
              <w:t>1.</w:t>
            </w:r>
            <w:r>
              <w:rPr>
                <w:rFonts w:hint="eastAsia" w:ascii="楷体" w:hAnsi="楷体" w:eastAsia="楷体"/>
                <w:color w:val="000000" w:themeColor="text1"/>
                <w:sz w:val="20"/>
                <w:szCs w:val="20"/>
                <w:lang w:eastAsia="zh-CN"/>
              </w:rPr>
              <w:t>申请人无正当理由逾期不补正，行政机关不再处理其政府信息公开申请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微软雅黑"/>
                <w:color w:val="000000" w:themeColor="text1"/>
                <w:sz w:val="20"/>
                <w:szCs w:val="20"/>
                <w:lang w:val="en-US" w:eastAsia="zh-CN"/>
              </w:rPr>
            </w:pPr>
            <w:r>
              <w:rPr>
                <w:rFonts w:hint="eastAsia" w:eastAsia="微软雅黑"/>
                <w:color w:val="000000" w:themeColor="text1"/>
                <w:sz w:val="20"/>
                <w:szCs w:val="20"/>
                <w:lang w:val="en-US" w:eastAsia="zh-CN"/>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left w:val="nil"/>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楷体" w:hAnsi="楷体" w:eastAsia="楷体"/>
                <w:color w:val="000000" w:themeColor="text1"/>
                <w:sz w:val="20"/>
                <w:szCs w:val="20"/>
              </w:rPr>
            </w:pPr>
            <w:r>
              <w:rPr>
                <w:rFonts w:hint="eastAsia" w:ascii="楷体" w:hAnsi="楷体" w:eastAsia="楷体"/>
                <w:color w:val="000000" w:themeColor="text1"/>
                <w:sz w:val="20"/>
                <w:szCs w:val="20"/>
                <w:lang w:val="en-US" w:eastAsia="zh-CN"/>
              </w:rPr>
              <w:t>2</w:t>
            </w:r>
            <w:r>
              <w:rPr>
                <w:rFonts w:hint="eastAsia" w:ascii="楷体" w:hAnsi="楷体" w:eastAsia="楷体"/>
                <w:color w:val="000000" w:themeColor="text1"/>
                <w:sz w:val="20"/>
                <w:szCs w:val="20"/>
              </w:rPr>
              <w:t>.</w:t>
            </w:r>
            <w:r>
              <w:rPr>
                <w:rFonts w:hint="eastAsia" w:ascii="楷体" w:hAnsi="楷体" w:eastAsia="楷体"/>
                <w:color w:val="000000" w:themeColor="text1"/>
                <w:sz w:val="20"/>
                <w:szCs w:val="20"/>
                <w:lang w:eastAsia="zh-CN"/>
              </w:rPr>
              <w:t>申请人逾期未按收费通知要求缴纳费用，行政机关不再处理其政府信息公开申请</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微软雅黑"/>
                <w:color w:val="000000" w:themeColor="text1"/>
                <w:sz w:val="20"/>
                <w:szCs w:val="20"/>
                <w:lang w:val="en-US" w:eastAsia="zh-CN"/>
              </w:rPr>
            </w:pPr>
            <w:r>
              <w:rPr>
                <w:rFonts w:hint="eastAsia" w:eastAsia="微软雅黑"/>
                <w:color w:val="000000" w:themeColor="text1"/>
                <w:sz w:val="20"/>
                <w:szCs w:val="20"/>
                <w:lang w:val="en-US" w:eastAsia="zh-CN"/>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r>
      <w:tr>
        <w:tblPrEx>
          <w:tblCellMar>
            <w:top w:w="0" w:type="dxa"/>
            <w:left w:w="0" w:type="dxa"/>
            <w:bottom w:w="0" w:type="dxa"/>
            <w:right w:w="0" w:type="dxa"/>
          </w:tblCellMar>
        </w:tblPrEx>
        <w:trPr>
          <w:trHeight w:val="496"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029" w:type="dxa"/>
            <w:vMerge w:val="continue"/>
            <w:tcBorders>
              <w:left w:val="nil"/>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17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rPr>
                <w:rFonts w:hint="eastAsia" w:ascii="楷体" w:hAnsi="楷体" w:eastAsia="楷体"/>
                <w:color w:val="000000" w:themeColor="text1"/>
                <w:sz w:val="20"/>
                <w:szCs w:val="20"/>
                <w:lang w:eastAsia="zh-CN"/>
              </w:rPr>
            </w:pPr>
            <w:r>
              <w:rPr>
                <w:rFonts w:hint="eastAsia" w:ascii="楷体" w:hAnsi="楷体" w:eastAsia="楷体"/>
                <w:color w:val="000000" w:themeColor="text1"/>
                <w:sz w:val="20"/>
                <w:szCs w:val="20"/>
                <w:lang w:val="en-US" w:eastAsia="zh-CN"/>
              </w:rPr>
              <w:t>2</w:t>
            </w:r>
            <w:r>
              <w:rPr>
                <w:rFonts w:hint="eastAsia" w:ascii="楷体" w:hAnsi="楷体" w:eastAsia="楷体"/>
                <w:color w:val="000000" w:themeColor="text1"/>
                <w:sz w:val="20"/>
                <w:szCs w:val="20"/>
              </w:rPr>
              <w:t>.</w:t>
            </w:r>
            <w:r>
              <w:rPr>
                <w:rFonts w:hint="eastAsia" w:ascii="楷体" w:hAnsi="楷体" w:eastAsia="楷体"/>
                <w:color w:val="000000" w:themeColor="text1"/>
                <w:sz w:val="20"/>
                <w:szCs w:val="20"/>
                <w:lang w:eastAsia="zh-CN"/>
              </w:rPr>
              <w:t>其他</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微软雅黑"/>
                <w:color w:val="000000" w:themeColor="text1"/>
                <w:sz w:val="20"/>
                <w:szCs w:val="20"/>
                <w:lang w:val="en-US" w:eastAsia="zh-CN"/>
              </w:rPr>
            </w:pPr>
            <w:r>
              <w:rPr>
                <w:rFonts w:hint="eastAsia" w:eastAsia="微软雅黑"/>
                <w:color w:val="000000" w:themeColor="text1"/>
                <w:sz w:val="20"/>
                <w:szCs w:val="20"/>
                <w:lang w:val="en-US" w:eastAsia="zh-CN"/>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hint="eastAsia" w:eastAsiaTheme="minorEastAsia"/>
                <w:color w:val="000000" w:themeColor="text1"/>
                <w:sz w:val="20"/>
                <w:szCs w:val="20"/>
                <w:lang w:val="en-US" w:eastAsia="zh-CN"/>
              </w:rPr>
            </w:pPr>
            <w:r>
              <w:rPr>
                <w:rFonts w:hint="eastAsia"/>
                <w:color w:val="000000" w:themeColor="text1"/>
                <w:sz w:val="20"/>
                <w:szCs w:val="20"/>
                <w:lang w:val="en-US" w:eastAsia="zh-CN"/>
              </w:rPr>
              <w:t>0</w:t>
            </w:r>
          </w:p>
        </w:tc>
      </w:tr>
      <w:tr>
        <w:tblPrEx>
          <w:tblCellMar>
            <w:top w:w="0" w:type="dxa"/>
            <w:left w:w="0" w:type="dxa"/>
            <w:bottom w:w="0" w:type="dxa"/>
            <w:right w:w="0" w:type="dxa"/>
          </w:tblCellMar>
        </w:tblPrEx>
        <w:trPr>
          <w:trHeight w:val="259" w:hRule="atLeast"/>
          <w:jc w:val="center"/>
        </w:trPr>
        <w:tc>
          <w:tcPr>
            <w:tcW w:w="689" w:type="dxa"/>
            <w:vMerge w:val="continue"/>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s="宋体"/>
                <w:color w:val="000000" w:themeColor="text1"/>
                <w:sz w:val="24"/>
              </w:rPr>
            </w:pPr>
          </w:p>
        </w:tc>
        <w:tc>
          <w:tcPr>
            <w:tcW w:w="2755" w:type="dxa"/>
            <w:gridSpan w:val="2"/>
            <w:tcBorders>
              <w:top w:val="nil"/>
              <w:left w:val="nil"/>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ascii="楷体" w:hAnsi="楷体" w:eastAsia="楷体"/>
                <w:color w:val="000000" w:themeColor="text1"/>
                <w:sz w:val="20"/>
                <w:szCs w:val="20"/>
              </w:rPr>
              <w:t>（七）总计</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r>
        <w:tblPrEx>
          <w:tblCellMar>
            <w:top w:w="0" w:type="dxa"/>
            <w:left w:w="0" w:type="dxa"/>
            <w:bottom w:w="0" w:type="dxa"/>
            <w:right w:w="0" w:type="dxa"/>
          </w:tblCellMar>
        </w:tblPrEx>
        <w:trPr>
          <w:trHeight w:val="244" w:hRule="atLeast"/>
          <w:jc w:val="center"/>
        </w:trPr>
        <w:tc>
          <w:tcPr>
            <w:tcW w:w="3444" w:type="dxa"/>
            <w:gridSpan w:val="3"/>
            <w:tcBorders>
              <w:top w:val="nil"/>
              <w:left w:val="single" w:color="auto" w:sz="8" w:space="0"/>
              <w:bottom w:val="single" w:color="auto" w:sz="8" w:space="0"/>
              <w:right w:val="single" w:color="auto" w:sz="8" w:space="0"/>
            </w:tcBorders>
            <w:vAlign w:val="center"/>
          </w:tcPr>
          <w:p>
            <w:pPr>
              <w:spacing w:line="320" w:lineRule="exact"/>
              <w:rPr>
                <w:rFonts w:ascii="微软雅黑" w:hAnsi="微软雅黑" w:eastAsia="微软雅黑"/>
                <w:color w:val="000000" w:themeColor="text1"/>
              </w:rPr>
            </w:pPr>
            <w:r>
              <w:rPr>
                <w:rFonts w:hint="eastAsia"/>
                <w:color w:val="000000" w:themeColor="text1"/>
                <w:sz w:val="20"/>
                <w:szCs w:val="20"/>
              </w:rPr>
              <w:t>四、结转下年度继续办理</w:t>
            </w:r>
          </w:p>
        </w:tc>
        <w:tc>
          <w:tcPr>
            <w:tcW w:w="56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85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85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99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微软雅黑" w:hAnsi="微软雅黑" w:eastAsia="微软雅黑"/>
                <w:color w:val="000000" w:themeColor="text1"/>
              </w:rPr>
            </w:pPr>
            <w:r>
              <w:rPr>
                <w:rFonts w:hint="eastAsia"/>
                <w:color w:val="000000" w:themeColor="text1"/>
                <w:sz w:val="20"/>
                <w:szCs w:val="20"/>
              </w:rPr>
              <w:t>0</w:t>
            </w:r>
          </w:p>
        </w:tc>
      </w:tr>
    </w:tbl>
    <w:p>
      <w:pPr>
        <w:pStyle w:val="12"/>
        <w:spacing w:line="400" w:lineRule="exact"/>
        <w:ind w:left="0" w:leftChars="0" w:firstLine="600" w:firstLineChars="200"/>
        <w:rPr>
          <w:rFonts w:ascii="黑体" w:hAnsi="黑体" w:eastAsia="黑体"/>
          <w:color w:val="000000" w:themeColor="text1"/>
          <w:sz w:val="30"/>
          <w:szCs w:val="30"/>
        </w:rPr>
      </w:pPr>
      <w:r>
        <w:rPr>
          <w:rFonts w:hint="eastAsia" w:ascii="黑体" w:hAnsi="黑体" w:eastAsia="黑体"/>
          <w:bCs/>
          <w:color w:val="000000" w:themeColor="text1"/>
          <w:sz w:val="30"/>
          <w:szCs w:val="30"/>
        </w:rPr>
        <w:t>四、因政府信息公开工作被申请行政复议、提起行政诉讼情况</w:t>
      </w:r>
    </w:p>
    <w:tbl>
      <w:tblPr>
        <w:tblStyle w:val="7"/>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rPr>
                <w:rFonts w:ascii="微软雅黑" w:hAnsi="微软雅黑" w:eastAsia="微软雅黑" w:cs="宋体"/>
                <w:color w:val="000000" w:themeColor="text1"/>
                <w:sz w:val="24"/>
              </w:rPr>
            </w:pPr>
          </w:p>
        </w:tc>
        <w:tc>
          <w:tcPr>
            <w:tcW w:w="604" w:type="dxa"/>
            <w:vMerge w:val="continue"/>
            <w:tcBorders>
              <w:top w:val="nil"/>
              <w:left w:val="nil"/>
              <w:bottom w:val="single" w:color="auto" w:sz="8" w:space="0"/>
              <w:right w:val="single" w:color="auto" w:sz="8" w:space="0"/>
            </w:tcBorders>
            <w:vAlign w:val="center"/>
          </w:tcPr>
          <w:p>
            <w:pPr>
              <w:rPr>
                <w:rFonts w:ascii="微软雅黑" w:hAnsi="微软雅黑" w:eastAsia="微软雅黑" w:cs="宋体"/>
                <w:color w:val="000000" w:themeColor="text1"/>
                <w:sz w:val="24"/>
              </w:rPr>
            </w:pPr>
          </w:p>
        </w:tc>
        <w:tc>
          <w:tcPr>
            <w:tcW w:w="604" w:type="dxa"/>
            <w:vMerge w:val="continue"/>
            <w:tcBorders>
              <w:top w:val="single" w:color="auto" w:sz="8" w:space="0"/>
              <w:left w:val="nil"/>
              <w:bottom w:val="single" w:color="auto" w:sz="8" w:space="0"/>
              <w:right w:val="single" w:color="auto" w:sz="8" w:space="0"/>
            </w:tcBorders>
            <w:vAlign w:val="center"/>
          </w:tcPr>
          <w:p>
            <w:pPr>
              <w:rPr>
                <w:rFonts w:ascii="微软雅黑" w:hAnsi="微软雅黑" w:eastAsia="微软雅黑" w:cs="宋体"/>
                <w:color w:val="000000" w:themeColor="text1"/>
                <w:sz w:val="24"/>
              </w:rPr>
            </w:pPr>
          </w:p>
        </w:tc>
        <w:tc>
          <w:tcPr>
            <w:tcW w:w="604" w:type="dxa"/>
            <w:vMerge w:val="continue"/>
            <w:tcBorders>
              <w:top w:val="single" w:color="auto" w:sz="8" w:space="0"/>
              <w:left w:val="nil"/>
              <w:bottom w:val="single" w:color="auto" w:sz="8" w:space="0"/>
              <w:right w:val="single" w:color="auto" w:sz="8" w:space="0"/>
            </w:tcBorders>
            <w:vAlign w:val="center"/>
          </w:tcPr>
          <w:p>
            <w:pPr>
              <w:rPr>
                <w:rFonts w:ascii="微软雅黑" w:hAnsi="微软雅黑" w:eastAsia="微软雅黑" w:cs="宋体"/>
                <w:color w:val="000000" w:themeColor="text1"/>
                <w:sz w:val="24"/>
              </w:rPr>
            </w:pPr>
          </w:p>
        </w:tc>
        <w:tc>
          <w:tcPr>
            <w:tcW w:w="658" w:type="dxa"/>
            <w:vMerge w:val="continue"/>
            <w:tcBorders>
              <w:top w:val="single" w:color="auto" w:sz="8" w:space="0"/>
              <w:left w:val="nil"/>
              <w:bottom w:val="single" w:color="auto" w:sz="8" w:space="0"/>
              <w:right w:val="single" w:color="auto" w:sz="8" w:space="0"/>
            </w:tcBorders>
            <w:vAlign w:val="center"/>
          </w:tcPr>
          <w:p>
            <w:pPr>
              <w:rPr>
                <w:rFonts w:ascii="微软雅黑" w:hAnsi="微软雅黑" w:eastAsia="微软雅黑" w:cs="宋体"/>
                <w:color w:val="000000" w:themeColor="text1"/>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0</w:t>
            </w:r>
            <w:r>
              <w:rPr>
                <w:rFonts w:eastAsia="微软雅黑"/>
                <w:color w:val="000000" w:themeColor="text1"/>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eastAsia="微软雅黑"/>
                <w:color w:val="000000" w:themeColor="text1"/>
                <w:sz w:val="20"/>
                <w:szCs w:val="20"/>
              </w:rPr>
              <w:t> </w:t>
            </w:r>
            <w:r>
              <w:rPr>
                <w:rFonts w:hint="eastAsia"/>
                <w:color w:val="000000" w:themeColor="text1"/>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jc w:val="center"/>
              <w:rPr>
                <w:rFonts w:ascii="微软雅黑" w:hAnsi="微软雅黑" w:eastAsia="微软雅黑"/>
                <w:color w:val="000000" w:themeColor="text1"/>
              </w:rPr>
            </w:pPr>
            <w:r>
              <w:rPr>
                <w:rFonts w:hint="eastAsia"/>
                <w:color w:val="000000" w:themeColor="text1"/>
                <w:sz w:val="20"/>
                <w:szCs w:val="20"/>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40" w:lineRule="atLeast"/>
              <w:rPr>
                <w:rFonts w:ascii="微软雅黑" w:hAnsi="微软雅黑" w:eastAsia="微软雅黑"/>
                <w:color w:val="000000" w:themeColor="text1"/>
              </w:rPr>
            </w:pPr>
            <w:r>
              <w:rPr>
                <w:rFonts w:hint="eastAsia"/>
                <w:color w:val="000000" w:themeColor="text1"/>
                <w:sz w:val="20"/>
                <w:szCs w:val="20"/>
              </w:rPr>
              <w:t>0</w:t>
            </w:r>
          </w:p>
        </w:tc>
      </w:tr>
    </w:tbl>
    <w:p>
      <w:pPr>
        <w:pStyle w:val="12"/>
        <w:spacing w:line="570" w:lineRule="exact"/>
        <w:ind w:left="0" w:leftChars="0" w:firstLine="640" w:firstLineChars="200"/>
        <w:rPr>
          <w:rFonts w:ascii="黑体" w:hAnsi="黑体" w:eastAsia="黑体"/>
          <w:color w:val="000000" w:themeColor="text1"/>
        </w:rPr>
      </w:pPr>
      <w:r>
        <w:rPr>
          <w:rFonts w:hint="eastAsia" w:ascii="黑体" w:hAnsi="黑体" w:eastAsia="黑体"/>
          <w:bCs/>
          <w:color w:val="000000" w:themeColor="text1"/>
        </w:rPr>
        <w:t>五、政府信息公开工作存在的主要问题及改进情况</w:t>
      </w:r>
    </w:p>
    <w:p>
      <w:pPr>
        <w:pStyle w:val="12"/>
        <w:spacing w:line="570" w:lineRule="exact"/>
        <w:ind w:firstLine="640"/>
        <w:rPr>
          <w:rFonts w:ascii="仿宋_GB2312" w:hAnsi="宋体" w:eastAsia="仿宋_GB2312" w:cs="宋体"/>
          <w:color w:val="000000" w:themeColor="text1"/>
        </w:rPr>
      </w:pPr>
      <w:r>
        <w:rPr>
          <w:rFonts w:hint="eastAsia" w:ascii="仿宋_GB2312" w:hAnsi="宋体" w:eastAsia="仿宋_GB2312" w:cs="宋体"/>
          <w:color w:val="000000" w:themeColor="text1"/>
        </w:rPr>
        <w:t>针对202</w:t>
      </w:r>
      <w:r>
        <w:rPr>
          <w:rFonts w:hint="eastAsia" w:ascii="仿宋_GB2312" w:hAnsi="宋体" w:eastAsia="仿宋_GB2312" w:cs="宋体"/>
          <w:color w:val="000000" w:themeColor="text1"/>
          <w:lang w:val="en-US" w:eastAsia="zh-CN"/>
        </w:rPr>
        <w:t>1</w:t>
      </w:r>
      <w:r>
        <w:rPr>
          <w:rFonts w:hint="eastAsia" w:ascii="仿宋_GB2312" w:hAnsi="宋体" w:eastAsia="仿宋_GB2312" w:cs="宋体"/>
          <w:color w:val="000000" w:themeColor="text1"/>
        </w:rPr>
        <w:t>年政府信息公开工作中存在的</w:t>
      </w:r>
      <w:r>
        <w:rPr>
          <w:rFonts w:hint="eastAsia" w:ascii="仿宋_GB2312" w:eastAsia="仿宋_GB2312"/>
          <w:color w:val="000000" w:themeColor="text1"/>
          <w:spacing w:val="4"/>
          <w:szCs w:val="32"/>
        </w:rPr>
        <w:t>信息公开机制有待进一步完善、信息公开不及时、不全面、信息公开载体有待进一步创新等问题。</w:t>
      </w:r>
      <w:r>
        <w:rPr>
          <w:rFonts w:hint="eastAsia" w:ascii="仿宋_GB2312" w:hAnsi="宋体" w:eastAsia="仿宋_GB2312" w:cs="宋体"/>
          <w:color w:val="000000" w:themeColor="text1"/>
        </w:rPr>
        <w:t>采取了以下改进措施：一是</w:t>
      </w:r>
      <w:r>
        <w:rPr>
          <w:rFonts w:hint="eastAsia" w:ascii="仿宋_GB2312" w:eastAsia="仿宋_GB2312"/>
          <w:color w:val="000000" w:themeColor="text1"/>
          <w:spacing w:val="4"/>
          <w:szCs w:val="32"/>
        </w:rPr>
        <w:t>建立健全信息公开规章制度，认真梳理工作流程，明确科室职责，确保信息公开畅通；二是</w:t>
      </w:r>
      <w:r>
        <w:rPr>
          <w:rFonts w:hint="eastAsia" w:ascii="仿宋_GB2312" w:hAnsi="宋体" w:eastAsia="仿宋_GB2312" w:cs="宋体"/>
          <w:color w:val="000000" w:themeColor="text1"/>
        </w:rPr>
        <w:t>抓好各项工作制度的贯彻落实，持续推进政务公开标准化规范化。</w:t>
      </w:r>
      <w:r>
        <w:rPr>
          <w:rFonts w:hint="eastAsia" w:ascii="仿宋_GB2312" w:eastAsia="仿宋_GB2312"/>
          <w:color w:val="000000" w:themeColor="text1"/>
          <w:spacing w:val="4"/>
          <w:szCs w:val="32"/>
        </w:rPr>
        <w:t>三是加大信息公开及时性、规范性、全面性等指标的考核，确保信息公开及时；四是大力拓展、延伸信息公开渠道，不断丰富信息公开载体。</w:t>
      </w:r>
    </w:p>
    <w:p>
      <w:pPr>
        <w:pStyle w:val="12"/>
        <w:spacing w:line="570" w:lineRule="exact"/>
        <w:ind w:firstLine="640"/>
        <w:rPr>
          <w:rFonts w:ascii="黑体" w:hAnsi="黑体" w:eastAsia="黑体"/>
          <w:bCs/>
          <w:color w:val="000000" w:themeColor="text1"/>
        </w:rPr>
      </w:pPr>
      <w:r>
        <w:rPr>
          <w:rFonts w:hint="eastAsia" w:ascii="黑体" w:hAnsi="黑体" w:eastAsia="黑体"/>
          <w:bCs/>
          <w:color w:val="000000" w:themeColor="text1"/>
        </w:rPr>
        <w:t>六、其他需要报告的事项</w:t>
      </w:r>
    </w:p>
    <w:p>
      <w:pPr>
        <w:spacing w:line="570" w:lineRule="exact"/>
        <w:ind w:firstLine="656" w:firstLineChars="200"/>
        <w:rPr>
          <w:rFonts w:ascii="仿宋_GB2312" w:hAnsi="Calibri" w:eastAsia="仿宋_GB2312" w:cs="Times New Roman"/>
          <w:color w:val="000000" w:themeColor="text1"/>
          <w:spacing w:val="4"/>
          <w:sz w:val="32"/>
          <w:szCs w:val="32"/>
        </w:rPr>
      </w:pPr>
      <w:r>
        <w:rPr>
          <w:rFonts w:hint="eastAsia" w:ascii="仿宋_GB2312" w:hAnsi="Calibri" w:eastAsia="仿宋_GB2312" w:cs="Times New Roman"/>
          <w:color w:val="000000" w:themeColor="text1"/>
          <w:spacing w:val="4"/>
          <w:sz w:val="32"/>
          <w:szCs w:val="32"/>
        </w:rPr>
        <w:t>本报告根据《中华人民共和国政府信息公开条例》等要求编制。全文包括总体情况、主动公开、依申请公开、复议诉讼、存在的主要问题和改进措施以及其他报告。报告中所列数据为国家税务总局安顺市西秀区税务局的202</w:t>
      </w:r>
      <w:r>
        <w:rPr>
          <w:rFonts w:hint="eastAsia" w:ascii="仿宋_GB2312" w:hAnsi="Calibri" w:eastAsia="仿宋_GB2312" w:cs="Times New Roman"/>
          <w:color w:val="000000" w:themeColor="text1"/>
          <w:spacing w:val="4"/>
          <w:sz w:val="32"/>
          <w:szCs w:val="32"/>
          <w:lang w:val="en-US" w:eastAsia="zh-CN"/>
        </w:rPr>
        <w:t>1</w:t>
      </w:r>
      <w:r>
        <w:rPr>
          <w:rFonts w:hint="eastAsia" w:ascii="仿宋_GB2312" w:hAnsi="Calibri" w:eastAsia="仿宋_GB2312" w:cs="Times New Roman"/>
          <w:color w:val="000000" w:themeColor="text1"/>
          <w:spacing w:val="4"/>
          <w:sz w:val="32"/>
          <w:szCs w:val="32"/>
        </w:rPr>
        <w:t>年整年数据，统计期限自202</w:t>
      </w:r>
      <w:r>
        <w:rPr>
          <w:rFonts w:hint="eastAsia" w:ascii="仿宋_GB2312" w:hAnsi="Calibri" w:eastAsia="仿宋_GB2312" w:cs="Times New Roman"/>
          <w:color w:val="000000" w:themeColor="text1"/>
          <w:spacing w:val="4"/>
          <w:sz w:val="32"/>
          <w:szCs w:val="32"/>
          <w:lang w:val="en-US" w:eastAsia="zh-CN"/>
        </w:rPr>
        <w:t>1</w:t>
      </w:r>
      <w:r>
        <w:rPr>
          <w:rFonts w:hint="eastAsia" w:ascii="仿宋_GB2312" w:hAnsi="Calibri" w:eastAsia="仿宋_GB2312" w:cs="Times New Roman"/>
          <w:color w:val="000000" w:themeColor="text1"/>
          <w:spacing w:val="4"/>
          <w:sz w:val="32"/>
          <w:szCs w:val="32"/>
        </w:rPr>
        <w:t>年1月1日起至202</w:t>
      </w:r>
      <w:r>
        <w:rPr>
          <w:rFonts w:hint="eastAsia" w:ascii="仿宋_GB2312" w:hAnsi="Calibri" w:eastAsia="仿宋_GB2312" w:cs="Times New Roman"/>
          <w:color w:val="000000" w:themeColor="text1"/>
          <w:spacing w:val="4"/>
          <w:sz w:val="32"/>
          <w:szCs w:val="32"/>
          <w:lang w:val="en-US" w:eastAsia="zh-CN"/>
        </w:rPr>
        <w:t>1</w:t>
      </w:r>
      <w:r>
        <w:rPr>
          <w:rFonts w:hint="eastAsia" w:ascii="仿宋_GB2312" w:hAnsi="Calibri" w:eastAsia="仿宋_GB2312" w:cs="Times New Roman"/>
          <w:color w:val="000000" w:themeColor="text1"/>
          <w:spacing w:val="4"/>
          <w:sz w:val="32"/>
          <w:szCs w:val="32"/>
        </w:rPr>
        <w:t>年12月31日止。报告电子版可在国家税务总局贵州省税务局网站（http://guizhou.chinatax.gov.cn/）查阅。如有疑问请致电国家税务总局安顺市西秀区税务局税务局（联系电话：0851-33224826），竭诚欢迎您的关注支持和批评监督！</w:t>
      </w:r>
    </w:p>
    <w:p>
      <w:pPr>
        <w:pStyle w:val="12"/>
        <w:spacing w:line="570" w:lineRule="exact"/>
        <w:ind w:firstLine="640"/>
        <w:rPr>
          <w:color w:val="000000" w:themeColor="text1"/>
        </w:rPr>
      </w:pPr>
      <w:r>
        <w:rPr>
          <w:rFonts w:hint="eastAsia" w:ascii="微软雅黑" w:hAnsi="微软雅黑" w:eastAsia="微软雅黑"/>
          <w:color w:val="000000" w:themeColor="text1"/>
        </w:rPr>
        <w:t>   </w:t>
      </w:r>
    </w:p>
    <w:p>
      <w:pPr>
        <w:spacing w:line="570" w:lineRule="exact"/>
        <w:jc w:val="left"/>
      </w:pPr>
      <w:r>
        <w:rPr>
          <w:rFonts w:hint="eastAsia" w:ascii="仿宋_GB2312" w:hAnsi="宋体" w:eastAsia="仿宋_GB2312" w:cs="宋体"/>
          <w:bCs/>
          <w:color w:val="000000" w:themeColor="text1"/>
          <w:kern w:val="0"/>
          <w:sz w:val="32"/>
          <w:szCs w:val="32"/>
        </w:rPr>
        <w:t xml:space="preserve">                </w:t>
      </w:r>
      <w:bookmarkStart w:id="0" w:name="_GoBack"/>
      <w:bookmarkEnd w:id="0"/>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70469"/>
      <w:docPartObj>
        <w:docPartGallery w:val="autotext"/>
      </w:docPartObj>
    </w:sdtPr>
    <w:sdtEndPr>
      <w:rPr>
        <w:sz w:val="28"/>
        <w:szCs w:val="28"/>
      </w:rPr>
    </w:sdtEnd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70472"/>
      <w:docPartObj>
        <w:docPartGallery w:val="autotext"/>
      </w:docPartObj>
    </w:sdtPr>
    <w:sdt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A98D5"/>
    <w:multiLevelType w:val="singleLevel"/>
    <w:tmpl w:val="31CA98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78"/>
    <w:rsid w:val="000E0551"/>
    <w:rsid w:val="00132544"/>
    <w:rsid w:val="001D0E50"/>
    <w:rsid w:val="002869C1"/>
    <w:rsid w:val="003112C4"/>
    <w:rsid w:val="0035433E"/>
    <w:rsid w:val="003617BC"/>
    <w:rsid w:val="003A73EB"/>
    <w:rsid w:val="004656A8"/>
    <w:rsid w:val="00676779"/>
    <w:rsid w:val="00721F69"/>
    <w:rsid w:val="00731395"/>
    <w:rsid w:val="00747B6F"/>
    <w:rsid w:val="007B0BB5"/>
    <w:rsid w:val="007F7D39"/>
    <w:rsid w:val="00B12B6D"/>
    <w:rsid w:val="00B22287"/>
    <w:rsid w:val="00BE4D87"/>
    <w:rsid w:val="00BE731F"/>
    <w:rsid w:val="00C4779F"/>
    <w:rsid w:val="00C73CE8"/>
    <w:rsid w:val="00D35A5D"/>
    <w:rsid w:val="00D506EC"/>
    <w:rsid w:val="00D973A1"/>
    <w:rsid w:val="00DB41DA"/>
    <w:rsid w:val="00DC7F72"/>
    <w:rsid w:val="00E6364E"/>
    <w:rsid w:val="00E677B8"/>
    <w:rsid w:val="00EC0D86"/>
    <w:rsid w:val="00EE66E2"/>
    <w:rsid w:val="00EF677E"/>
    <w:rsid w:val="00F239A5"/>
    <w:rsid w:val="00F41C5B"/>
    <w:rsid w:val="00F72534"/>
    <w:rsid w:val="00FD44CB"/>
    <w:rsid w:val="00FF49BA"/>
    <w:rsid w:val="02FE166E"/>
    <w:rsid w:val="049D0E04"/>
    <w:rsid w:val="074F2B71"/>
    <w:rsid w:val="083065BD"/>
    <w:rsid w:val="0C21683F"/>
    <w:rsid w:val="0C266C8D"/>
    <w:rsid w:val="0DF1212F"/>
    <w:rsid w:val="0E636294"/>
    <w:rsid w:val="0F266891"/>
    <w:rsid w:val="11C40163"/>
    <w:rsid w:val="14D90239"/>
    <w:rsid w:val="165C74E9"/>
    <w:rsid w:val="18F836CD"/>
    <w:rsid w:val="190F4804"/>
    <w:rsid w:val="191525F9"/>
    <w:rsid w:val="1A3943CD"/>
    <w:rsid w:val="1C027A7D"/>
    <w:rsid w:val="1E732026"/>
    <w:rsid w:val="22005238"/>
    <w:rsid w:val="224C1330"/>
    <w:rsid w:val="22952798"/>
    <w:rsid w:val="2DE84F21"/>
    <w:rsid w:val="2EDF4964"/>
    <w:rsid w:val="36E74B89"/>
    <w:rsid w:val="38604D1A"/>
    <w:rsid w:val="3FC3122C"/>
    <w:rsid w:val="40AB322C"/>
    <w:rsid w:val="411F730D"/>
    <w:rsid w:val="42DB112B"/>
    <w:rsid w:val="45197FAB"/>
    <w:rsid w:val="4CBD0703"/>
    <w:rsid w:val="4FED5FC1"/>
    <w:rsid w:val="51767A3D"/>
    <w:rsid w:val="592C3580"/>
    <w:rsid w:val="5A02428D"/>
    <w:rsid w:val="5C4D646F"/>
    <w:rsid w:val="5E0258D5"/>
    <w:rsid w:val="5FFE6F11"/>
    <w:rsid w:val="607167D8"/>
    <w:rsid w:val="61CE7E59"/>
    <w:rsid w:val="646568AB"/>
    <w:rsid w:val="6729108D"/>
    <w:rsid w:val="6749609C"/>
    <w:rsid w:val="68BE48B6"/>
    <w:rsid w:val="693B0AFE"/>
    <w:rsid w:val="6D27145A"/>
    <w:rsid w:val="74276617"/>
    <w:rsid w:val="75A40692"/>
    <w:rsid w:val="7A455D0B"/>
    <w:rsid w:val="7FAE1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before="100" w:line="560" w:lineRule="exact"/>
      <w:ind w:firstLine="640" w:firstLineChars="200"/>
    </w:pPr>
    <w:rPr>
      <w:rFonts w:ascii="仿宋_GB2312" w:eastAsia="仿宋_GB2312"/>
      <w:sz w:val="32"/>
      <w:szCs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jc w:val="left"/>
    </w:pPr>
    <w:rPr>
      <w:rFonts w:cs="Times New Roman"/>
      <w:kern w:val="0"/>
      <w:sz w:val="24"/>
    </w:rPr>
  </w:style>
  <w:style w:type="paragraph" w:styleId="6">
    <w:name w:val="Body Text First Indent 2"/>
    <w:basedOn w:val="2"/>
    <w:qFormat/>
    <w:uiPriority w:val="0"/>
    <w:pPr>
      <w:ind w:firstLine="420"/>
    </w:pPr>
  </w:style>
  <w:style w:type="character" w:styleId="9">
    <w:name w:val="Strong"/>
    <w:basedOn w:val="8"/>
    <w:qFormat/>
    <w:uiPriority w:val="0"/>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列表段落1"/>
    <w:basedOn w:val="1"/>
    <w:qFormat/>
    <w:uiPriority w:val="34"/>
    <w:pPr>
      <w:ind w:firstLine="420" w:firstLineChars="200"/>
    </w:pPr>
    <w:rPr>
      <w:rFonts w:ascii="Calibri" w:hAnsi="Calibri" w:eastAsia="宋体" w:cs="Times New Roman"/>
      <w:sz w:val="32"/>
      <w:szCs w:val="22"/>
    </w:rPr>
  </w:style>
  <w:style w:type="character" w:customStyle="1" w:styleId="13">
    <w:name w:val="dhgao"/>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571</Words>
  <Characters>3255</Characters>
  <Lines>27</Lines>
  <Paragraphs>7</Paragraphs>
  <TotalTime>6</TotalTime>
  <ScaleCrop>false</ScaleCrop>
  <LinksUpToDate>false</LinksUpToDate>
  <CharactersWithSpaces>3819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2020-02-17T03:25:00Z</dcterms:created>
  <dc:creator>吴雪梅</dc:creator>
  <cp:lastModifiedBy>Administrator</cp:lastModifiedBy>
  <cp:lastPrinted>2021-01-27T07:58:00Z</cp:lastPrinted>
  <dcterms:modified xsi:type="dcterms:W3CDTF">2022-01-26T04:18:14Z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6E82E0BE82EA41AFA5C91DC796945233</vt:lpwstr>
  </property>
</Properties>
</file>