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1E3B0">
      <w:pPr>
        <w:pageBreakBefore w:val="0"/>
        <w:widowControl w:val="0"/>
        <w:kinsoku/>
        <w:wordWrap/>
        <w:overflowPunct/>
        <w:topLinePunct w:val="0"/>
        <w:autoSpaceDE/>
        <w:autoSpaceDN/>
        <w:bidi w:val="0"/>
        <w:adjustRightInd/>
        <w:snapToGrid/>
        <w:spacing w:line="1000" w:lineRule="exact"/>
        <w:jc w:val="center"/>
        <w:textAlignment w:val="auto"/>
        <w:outlineLvl w:val="0"/>
        <w:rPr>
          <w:rFonts w:hint="eastAsia" w:ascii="华文中宋" w:hAnsi="华文中宋" w:eastAsia="华文中宋" w:cs="华文中宋"/>
          <w:sz w:val="52"/>
          <w:szCs w:val="52"/>
        </w:rPr>
      </w:pPr>
      <w:r>
        <w:rPr>
          <w:rFonts w:hint="eastAsia" w:ascii="华文中宋" w:hAnsi="华文中宋" w:eastAsia="华文中宋" w:cs="华文中宋"/>
          <w:sz w:val="52"/>
          <w:szCs w:val="52"/>
          <w:lang w:eastAsia="zh-CN"/>
        </w:rPr>
        <w:t>国家税务总局安顺市</w:t>
      </w:r>
      <w:r>
        <w:rPr>
          <w:rFonts w:hint="eastAsia" w:ascii="华文中宋" w:hAnsi="华文中宋" w:eastAsia="华文中宋" w:cs="华文中宋"/>
          <w:sz w:val="52"/>
          <w:szCs w:val="52"/>
        </w:rPr>
        <w:t>税务局稽查局</w:t>
      </w:r>
    </w:p>
    <w:p w14:paraId="0C34A87F">
      <w:pPr>
        <w:pStyle w:val="3"/>
        <w:pageBreakBefore w:val="0"/>
        <w:widowControl w:val="0"/>
        <w:kinsoku/>
        <w:wordWrap/>
        <w:overflowPunct/>
        <w:topLinePunct w:val="0"/>
        <w:autoSpaceDE/>
        <w:autoSpaceDN/>
        <w:bidi w:val="0"/>
        <w:adjustRightInd/>
        <w:snapToGrid/>
        <w:spacing w:line="1000" w:lineRule="exact"/>
        <w:textAlignment w:val="auto"/>
        <w:rPr>
          <w:rFonts w:hint="eastAsia" w:eastAsia="华文中宋"/>
          <w:lang w:eastAsia="zh-CN"/>
        </w:rPr>
      </w:pPr>
      <w:bookmarkStart w:id="0" w:name="_Toc767617361"/>
      <w:r>
        <w:rPr>
          <w:rFonts w:hint="eastAsia"/>
        </w:rPr>
        <w:t>税务</w:t>
      </w:r>
      <w:bookmarkEnd w:id="0"/>
      <w:r>
        <w:rPr>
          <w:rFonts w:hint="eastAsia"/>
          <w:lang w:eastAsia="zh-CN"/>
        </w:rPr>
        <w:t>处理决定书</w:t>
      </w:r>
    </w:p>
    <w:p w14:paraId="0316BAF9">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lang w:eastAsia="zh-CN"/>
        </w:rPr>
        <w:t>安市</w:t>
      </w:r>
      <w:r>
        <w:rPr>
          <w:rFonts w:hint="eastAsia" w:ascii="仿宋_GB2312" w:hAnsi="仿宋_GB2312" w:eastAsia="仿宋_GB2312" w:cs="仿宋_GB2312"/>
          <w:color w:val="000000"/>
          <w:kern w:val="0"/>
          <w:sz w:val="32"/>
          <w:szCs w:val="32"/>
          <w:highlight w:val="none"/>
        </w:rPr>
        <w:t>税</w:t>
      </w:r>
      <w:r>
        <w:rPr>
          <w:rFonts w:hint="eastAsia" w:ascii="仿宋_GB2312" w:hAnsi="仿宋_GB2312" w:eastAsia="仿宋_GB2312" w:cs="仿宋_GB2312"/>
          <w:color w:val="000000"/>
          <w:kern w:val="0"/>
          <w:sz w:val="32"/>
          <w:szCs w:val="32"/>
          <w:highlight w:val="none"/>
          <w:lang w:eastAsia="zh-CN"/>
        </w:rPr>
        <w:t>稽处</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val="en-US" w:eastAsia="zh-CN"/>
        </w:rPr>
        <w:t>2026</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val="en-US" w:eastAsia="zh-CN"/>
        </w:rPr>
        <w:t>1</w:t>
      </w:r>
      <w:r>
        <w:rPr>
          <w:rFonts w:hint="eastAsia" w:ascii="仿宋_GB2312" w:hAnsi="仿宋_GB2312" w:eastAsia="仿宋_GB2312" w:cs="仿宋_GB2312"/>
          <w:color w:val="000000"/>
          <w:kern w:val="0"/>
          <w:sz w:val="32"/>
          <w:szCs w:val="32"/>
          <w:highlight w:val="none"/>
        </w:rPr>
        <w:t>号</w:t>
      </w:r>
    </w:p>
    <w:p w14:paraId="32733300">
      <w:pPr>
        <w:keepNext w:val="0"/>
        <w:keepLines w:val="0"/>
        <w:pageBreakBefore w:val="0"/>
        <w:widowControl/>
        <w:kinsoku/>
        <w:wordWrap/>
        <w:overflowPunct/>
        <w:topLinePunct w:val="0"/>
        <w:autoSpaceDE/>
        <w:autoSpaceDN/>
        <w:bidi w:val="0"/>
        <w:adjustRightInd/>
        <w:snapToGrid/>
        <w:spacing w:line="560" w:lineRule="exact"/>
        <w:ind w:firstLine="643" w:firstLineChars="200"/>
        <w:jc w:val="center"/>
        <w:textAlignment w:val="auto"/>
        <w:rPr>
          <w:rFonts w:hint="eastAsia" w:ascii="仿宋" w:hAnsi="仿宋" w:eastAsia="仿宋" w:cs="仿宋"/>
          <w:color w:val="000000"/>
          <w:kern w:val="0"/>
          <w:sz w:val="32"/>
          <w:szCs w:val="32"/>
        </w:rPr>
      </w:pPr>
      <w:r>
        <w:rPr>
          <w:rFonts w:hint="eastAsia" w:ascii="仿宋" w:hAnsi="仿宋" w:eastAsia="仿宋" w:cs="仿宋"/>
          <w:b/>
          <w:sz w:val="32"/>
          <w:szCs w:val="32"/>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99695</wp:posOffset>
                </wp:positionV>
                <wp:extent cx="5687695" cy="0"/>
                <wp:effectExtent l="0" t="20320" r="8255" b="36830"/>
                <wp:wrapNone/>
                <wp:docPr id="4" name="直接箭头连接符 4"/>
                <wp:cNvGraphicFramePr/>
                <a:graphic xmlns:a="http://schemas.openxmlformats.org/drawingml/2006/main">
                  <a:graphicData uri="http://schemas.microsoft.com/office/word/2010/wordprocessingShape">
                    <wps:wsp>
                      <wps:cNvCnPr/>
                      <wps:spPr>
                        <a:xfrm>
                          <a:off x="0" y="0"/>
                          <a:ext cx="5687695" cy="0"/>
                        </a:xfrm>
                        <a:prstGeom prst="straightConnector1">
                          <a:avLst/>
                        </a:prstGeom>
                        <a:ln w="412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15pt;margin-top:7.85pt;height:0pt;width:447.85pt;z-index:251659264;mso-width-relative:page;mso-height-relative:page;" filled="f" stroked="t" coordsize="21600,21600" o:gfxdata="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FosdDWAAAACAEAAA8AAAAAAAAAAQAgAAAAIgAAAGRycy9kb3ducmV2&#10;LnhtbFBLAQIUABQAAAAIAIdO4kD/O1WI/gEAAO0DAAAOAAAAAAAAAAEAIAAAACUBAABkcnMvZTJv&#10;RG9jLnhtbFBLBQYAAAAABgAGAFkBAACVBQAAAAA=&#10;">
                <v:fill on="f" focussize="0,0"/>
                <v:stroke weight="3.25pt" color="#000000" joinstyle="round"/>
                <v:imagedata o:title=""/>
                <o:lock v:ext="edit" aspectratio="f"/>
              </v:shape>
            </w:pict>
          </mc:Fallback>
        </mc:AlternateContent>
      </w:r>
    </w:p>
    <w:p w14:paraId="42510DF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eastAsia="zh-CN"/>
        </w:rPr>
      </w:pPr>
      <w:r>
        <w:rPr>
          <w:rFonts w:hint="eastAsia" w:ascii="仿宋_GB2312" w:hAnsi="仿宋_GB2312" w:eastAsia="仿宋_GB2312" w:cs="仿宋_GB2312"/>
          <w:color w:val="000000"/>
          <w:sz w:val="32"/>
          <w:szCs w:val="32"/>
        </w:rPr>
        <w:t>贵州华泰宁安工程建筑设计有限责任公司（社会信用代码：</w:t>
      </w:r>
      <w:r>
        <w:rPr>
          <w:rFonts w:ascii="仿宋_GB2312" w:hAnsi="仿宋_GB2312" w:eastAsia="仿宋_GB2312" w:cs="仿宋_GB2312"/>
          <w:color w:val="000000"/>
          <w:sz w:val="32"/>
          <w:szCs w:val="32"/>
        </w:rPr>
        <w:t>91520423MA6DLH799Q</w:t>
      </w:r>
      <w:r>
        <w:rPr>
          <w:rFonts w:hint="eastAsia" w:ascii="仿宋_GB2312" w:hAnsi="仿宋_GB2312" w:eastAsia="仿宋_GB2312" w:cs="仿宋_GB2312"/>
          <w:color w:val="000000"/>
          <w:sz w:val="32"/>
          <w:szCs w:val="32"/>
        </w:rPr>
        <w:t>）</w:t>
      </w:r>
      <w:r>
        <w:rPr>
          <w:rFonts w:hint="eastAsia" w:ascii="仿宋_GB2312" w:eastAsia="仿宋_GB2312"/>
          <w:sz w:val="32"/>
          <w:szCs w:val="32"/>
          <w:lang w:eastAsia="zh-CN"/>
        </w:rPr>
        <w:t>：</w:t>
      </w:r>
    </w:p>
    <w:p w14:paraId="2493DB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我局于</w:t>
      </w:r>
      <w:r>
        <w:rPr>
          <w:rFonts w:hint="eastAsia" w:ascii="仿宋_GB2312" w:eastAsia="仿宋_GB2312"/>
          <w:sz w:val="32"/>
          <w:szCs w:val="32"/>
          <w:highlight w:val="none"/>
          <w:lang w:eastAsia="zh-CN"/>
        </w:rPr>
        <w:t>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lang w:eastAsia="zh-CN"/>
        </w:rPr>
        <w:t>年</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lang w:eastAsia="zh-CN"/>
        </w:rPr>
        <w:t>月</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lang w:eastAsia="zh-CN"/>
        </w:rPr>
        <w:t>日至202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lang w:eastAsia="zh-CN"/>
        </w:rPr>
        <w:t>年</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lang w:eastAsia="zh-CN"/>
        </w:rPr>
        <w:t>月</w:t>
      </w:r>
      <w:r>
        <w:rPr>
          <w:rFonts w:hint="eastAsia" w:ascii="仿宋_GB2312" w:eastAsia="仿宋_GB2312"/>
          <w:sz w:val="32"/>
          <w:szCs w:val="32"/>
          <w:highlight w:val="none"/>
          <w:lang w:val="en-US" w:eastAsia="zh-CN"/>
        </w:rPr>
        <w:t>29</w:t>
      </w:r>
      <w:r>
        <w:rPr>
          <w:rFonts w:hint="eastAsia" w:ascii="仿宋_GB2312" w:eastAsia="仿宋_GB2312"/>
          <w:sz w:val="32"/>
          <w:szCs w:val="32"/>
          <w:highlight w:val="none"/>
          <w:lang w:eastAsia="zh-CN"/>
        </w:rPr>
        <w:t>日</w:t>
      </w:r>
      <w:r>
        <w:rPr>
          <w:rFonts w:hint="eastAsia" w:ascii="仿宋_GB2312" w:eastAsia="仿宋_GB2312"/>
          <w:sz w:val="32"/>
          <w:szCs w:val="32"/>
          <w:lang w:eastAsia="zh-CN"/>
        </w:rPr>
        <w:t>对你单位</w:t>
      </w:r>
      <w:r>
        <w:rPr>
          <w:rFonts w:hint="eastAsia" w:ascii="仿宋_GB2312" w:hAnsi="仿宋_GB2312" w:eastAsia="仿宋_GB2312" w:cs="仿宋_GB2312"/>
          <w:color w:val="000000"/>
          <w:sz w:val="32"/>
          <w:szCs w:val="32"/>
        </w:rPr>
        <w:t>（地址：贵州省安顺市镇宁布依族苗族自治县城关镇城西村五组）</w:t>
      </w:r>
      <w:r>
        <w:rPr>
          <w:rFonts w:hint="eastAsia" w:ascii="仿宋_GB2312" w:eastAsia="仿宋_GB2312"/>
          <w:sz w:val="32"/>
          <w:szCs w:val="32"/>
          <w:highlight w:val="none"/>
        </w:rPr>
        <w:t>20</w:t>
      </w:r>
      <w:r>
        <w:rPr>
          <w:rFonts w:hint="eastAsia" w:ascii="仿宋_GB2312" w:eastAsia="仿宋_GB2312"/>
          <w:sz w:val="32"/>
          <w:szCs w:val="32"/>
          <w:highlight w:val="none"/>
          <w:lang w:val="en-US" w:eastAsia="zh-CN"/>
        </w:rPr>
        <w:t>19</w:t>
      </w:r>
      <w:r>
        <w:rPr>
          <w:rFonts w:hint="eastAsia" w:ascii="仿宋_GB2312" w:eastAsia="仿宋_GB2312"/>
          <w:sz w:val="32"/>
          <w:szCs w:val="32"/>
          <w:highlight w:val="none"/>
          <w:lang w:eastAsia="zh-CN"/>
        </w:rPr>
        <w:t>年</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lang w:eastAsia="zh-CN"/>
        </w:rPr>
        <w:t>月</w:t>
      </w:r>
      <w:r>
        <w:rPr>
          <w:rFonts w:hint="eastAsia" w:ascii="仿宋_GB2312" w:eastAsia="仿宋_GB2312"/>
          <w:sz w:val="32"/>
          <w:szCs w:val="32"/>
          <w:highlight w:val="none"/>
        </w:rPr>
        <w:t>1</w:t>
      </w:r>
      <w:r>
        <w:rPr>
          <w:rFonts w:hint="eastAsia" w:ascii="仿宋_GB2312" w:eastAsia="仿宋_GB2312"/>
          <w:sz w:val="32"/>
          <w:szCs w:val="32"/>
          <w:highlight w:val="none"/>
          <w:lang w:eastAsia="zh-CN"/>
        </w:rPr>
        <w:t>日</w:t>
      </w:r>
      <w:r>
        <w:rPr>
          <w:rFonts w:hint="eastAsia" w:ascii="仿宋_GB2312" w:eastAsia="仿宋_GB2312"/>
          <w:sz w:val="32"/>
          <w:szCs w:val="32"/>
          <w:highlight w:val="none"/>
        </w:rPr>
        <w:t>至202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月3</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日</w:t>
      </w:r>
      <w:r>
        <w:rPr>
          <w:rFonts w:hint="eastAsia" w:ascii="仿宋_GB2312" w:eastAsia="仿宋_GB2312"/>
          <w:sz w:val="32"/>
          <w:szCs w:val="32"/>
          <w:lang w:eastAsia="zh-CN"/>
        </w:rPr>
        <w:t>涉税情况进行了检查，违法事实及处理决定如下：</w:t>
      </w:r>
    </w:p>
    <w:p w14:paraId="6D9B204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一、违法事实</w:t>
      </w:r>
    </w:p>
    <w:p w14:paraId="6B8612C8">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（一）发票违法情况</w:t>
      </w:r>
    </w:p>
    <w:p w14:paraId="3547025B">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1.你单位取得贵州宏翼翔汽车销售服务有限公司2020年8月20日至2020年8月24日开具的增值税专用发票6份（发票代码：5200193130，发票号码：02614748</w:t>
      </w:r>
      <w:r>
        <w:rPr>
          <w:rFonts w:hint="eastAsia" w:ascii="仿宋_GB2312" w:hAnsi="Arial" w:eastAsia="仿宋_GB2312"/>
          <w:kern w:val="0"/>
          <w:sz w:val="32"/>
          <w:szCs w:val="32"/>
        </w:rPr>
        <w:t>～</w:t>
      </w:r>
      <w:r>
        <w:rPr>
          <w:rFonts w:hint="eastAsia" w:ascii="仿宋" w:hAnsi="仿宋" w:eastAsia="仿宋" w:cs="仿宋"/>
          <w:sz w:val="32"/>
          <w:szCs w:val="32"/>
        </w:rPr>
        <w:t>02614752；发票代码：5200194130，发票号码：00961329），货物劳务名称：*其他机械设备*机械配件，金额460,177.02元，税额59,822.98元，价税合计520,000.00元。你单位于2020年8月对上述发票的进项税额进行了抵扣，共抵扣进项税款59,822.98元，同时在企业所得税前列支主营业务成本460,177.02元。经查上述发票存在以下问题：</w:t>
      </w:r>
    </w:p>
    <w:p w14:paraId="27199F13">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（1）长期挂账未付款。你单位对该笔业务计入应付账款，金额520,000.00元，长期未支付。</w:t>
      </w:r>
    </w:p>
    <w:p w14:paraId="171DCBA2">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2）贵州宏翼翔汽车销售服务有限公司实际经营人李*林询问笔录说明贵州宏翼翔汽车销售服务有限公司2018年年底就停止经营，且贵州宏翼翔汽车销售服务有限公司经营业务只是代理销售奇瑞和吉利牌子的新车，与你单位无实际业务往来，贵州宏翼翔汽车销售服务有限公司的法人代表章、公章、发票专用章全部交由为其代理记账的贵州理得清财务有限公司实际控制人王*（系贵州宏翼翔汽车销售服务有限公司财务负责人，也是你单位股东、实际控制人）保管和使用，上述发票也是王*开具的。</w:t>
      </w:r>
    </w:p>
    <w:p w14:paraId="4DE884BC">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3）贵州宏翼翔汽车销售服务有限公司货物购销不匹配。上述开具的增值税专用发票货物名称为“*其他机械设备*机械配件”，贵州宏翼翔汽车销售服务有限公司无“*其他机械设备*机械配件”购进，货物购销不匹配。</w:t>
      </w:r>
    </w:p>
    <w:p w14:paraId="489C1828">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上述事实，有以下证据证实：</w:t>
      </w:r>
    </w:p>
    <w:p w14:paraId="1C6B6E24">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证据1：贵州宏翼翔汽车销售服务有限公司2019年至2021年发票取得及开具明细，用于证明贵州宏翼翔汽车销售服务有限公司货物购销不匹配。</w:t>
      </w:r>
    </w:p>
    <w:p w14:paraId="0613EB57">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证据2：你单位应付账款明细账，用于证明交易未付款，无真实的资金交易。</w:t>
      </w:r>
    </w:p>
    <w:p w14:paraId="56E0A617">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lang w:eastAsia="zh-CN"/>
        </w:rPr>
        <w:t>证据</w:t>
      </w:r>
      <w:r>
        <w:rPr>
          <w:rFonts w:hint="eastAsia" w:ascii="仿宋" w:hAnsi="仿宋" w:eastAsia="仿宋" w:cs="仿宋"/>
          <w:sz w:val="32"/>
          <w:szCs w:val="32"/>
          <w:lang w:val="en-US" w:eastAsia="zh-CN"/>
        </w:rPr>
        <w:t>3：询问笔录，</w:t>
      </w:r>
      <w:r>
        <w:rPr>
          <w:rFonts w:hint="eastAsia" w:ascii="仿宋" w:hAnsi="仿宋" w:eastAsia="仿宋" w:cs="仿宋"/>
          <w:sz w:val="32"/>
          <w:szCs w:val="32"/>
        </w:rPr>
        <w:t>用于证明贵州宏翼翔汽车销售服务有限公司与你单位无实际业务往来</w:t>
      </w:r>
      <w:r>
        <w:rPr>
          <w:rFonts w:hint="eastAsia" w:ascii="仿宋" w:hAnsi="仿宋" w:eastAsia="仿宋" w:cs="仿宋"/>
          <w:sz w:val="32"/>
          <w:szCs w:val="32"/>
          <w:lang w:eastAsia="zh-CN"/>
        </w:rPr>
        <w:t>。</w:t>
      </w:r>
    </w:p>
    <w:p w14:paraId="4E9463A0">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证据</w:t>
      </w:r>
      <w:r>
        <w:rPr>
          <w:rFonts w:hint="eastAsia" w:ascii="仿宋" w:hAnsi="仿宋" w:eastAsia="仿宋" w:cs="仿宋"/>
          <w:sz w:val="32"/>
          <w:szCs w:val="32"/>
          <w:lang w:val="en-US" w:eastAsia="zh-CN"/>
        </w:rPr>
        <w:t>4</w:t>
      </w:r>
      <w:r>
        <w:rPr>
          <w:rFonts w:hint="eastAsia" w:ascii="仿宋" w:hAnsi="仿宋" w:eastAsia="仿宋" w:cs="仿宋"/>
          <w:sz w:val="32"/>
          <w:szCs w:val="32"/>
        </w:rPr>
        <w:t>：记账凭证</w:t>
      </w:r>
      <w:r>
        <w:rPr>
          <w:rFonts w:hint="eastAsia" w:ascii="仿宋" w:hAnsi="仿宋" w:eastAsia="仿宋" w:cs="仿宋"/>
          <w:sz w:val="32"/>
          <w:szCs w:val="32"/>
          <w:lang w:eastAsia="zh-CN"/>
        </w:rPr>
        <w:t>、</w:t>
      </w:r>
      <w:r>
        <w:rPr>
          <w:rFonts w:hint="eastAsia" w:ascii="仿宋" w:hAnsi="仿宋" w:eastAsia="仿宋" w:cs="仿宋"/>
          <w:sz w:val="32"/>
          <w:szCs w:val="32"/>
        </w:rPr>
        <w:t>发票复印件、增值税申报表及抵扣发票统计表，用于证明你单位取得上述增值税专用发票并进行申报抵扣和企业所得税税前扣除。</w:t>
      </w:r>
    </w:p>
    <w:p w14:paraId="4DAD1E6E">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证据</w:t>
      </w:r>
      <w:r>
        <w:rPr>
          <w:rFonts w:hint="eastAsia" w:ascii="仿宋" w:hAnsi="仿宋" w:eastAsia="仿宋" w:cs="仿宋"/>
          <w:sz w:val="32"/>
          <w:szCs w:val="32"/>
          <w:lang w:val="en-US" w:eastAsia="zh-CN"/>
        </w:rPr>
        <w:t>5</w:t>
      </w:r>
      <w:r>
        <w:rPr>
          <w:rFonts w:hint="eastAsia" w:ascii="仿宋" w:hAnsi="仿宋" w:eastAsia="仿宋" w:cs="仿宋"/>
          <w:sz w:val="32"/>
          <w:szCs w:val="32"/>
        </w:rPr>
        <w:t>：增值税发票税控系统V2.0查询截图，用于证明你单位与贵州宏翼翔汽车销售服务有限公司开具发票的IP地址在同一网络且MAC地址相同，即两家公司由同一台电脑在同一网络下对外开具发票，说明两家公司的发票开具是共同操作的。</w:t>
      </w:r>
    </w:p>
    <w:p w14:paraId="432A758B">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2.你单位取得安顺润亨化工贸易有限公司2020年9月14日至2020年10月20日开具的增值税专用发票80份（发票代码：5200193130，发票号码：02538446～02538454、02538456～02538458、02538460～02538466、02538491～02538509；发票代码：5200194130，发票号码：04856368～04856377、04856384～04856396、04856408～04856426），货物劳务名称：*沥青*沥青，数量2,230.38吨，金额7,466,556.24元，税额970,652.36元，价税合计8,437,208.60元。取得安顺润亨化工贸易有限公司2020年9月14日至2020年10月20日开具的增值税专用发票11份（发票代码：5200193130，发票号码：02538467～02538469、02538510～02538512；发票代码：5200194130，发票号码：04856378、04856427、04856397、04856398、04856428），货物劳务名称：*运输服务*陆路货物运输服务，数量2,230.38吨，金额859,412.48元，税额77,347.12元，价税合计936,759.60元。上述进项税额已于2020年9月及10月进行了认证抵扣，并在2020年企业所得税前列支主营业务成本8,325,968.72元。经查上述发票存在以下问题：</w:t>
      </w:r>
    </w:p>
    <w:p w14:paraId="5FB679F0">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1）资金出现部分回流。上述购进沥青的业务，你单位2020年8月31日至2020年12月18日通过对公银行账户打款4,580,635.20元到安顺润亨化工贸易有限公司对公银行账户，安顺润亨化工贸易有限公司再通过对公银行账户及严*海、陈*敏、高*、李*民等个人账户打款4,160,824.60元给王*。</w:t>
      </w:r>
    </w:p>
    <w:p w14:paraId="78721FF1">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仿宋"/>
          <w:color w:val="FF0000"/>
          <w:sz w:val="32"/>
          <w:szCs w:val="32"/>
        </w:rPr>
      </w:pPr>
      <w:r>
        <w:rPr>
          <w:rFonts w:hint="eastAsia" w:ascii="仿宋" w:hAnsi="仿宋" w:eastAsia="仿宋" w:cs="仿宋"/>
          <w:sz w:val="32"/>
          <w:szCs w:val="32"/>
        </w:rPr>
        <w:t>（2）伪造运输单据。在对安顺润亨化工贸易有限公司外调协查时，安顺润亨化工贸易有限公司提供关于向你单位销售沥青的“送货单”显示送货车辆车号为“贵J38306”，而在对安顺润亨化工贸易有限公司立案检查后，调取其凭证发现记账凭证所附“危险货物运输单”显示车号为“桂NS819</w:t>
      </w:r>
      <w:r>
        <w:rPr>
          <w:rFonts w:hint="eastAsia" w:ascii="仿宋" w:hAnsi="仿宋" w:eastAsia="仿宋" w:cs="仿宋"/>
          <w:sz w:val="32"/>
          <w:szCs w:val="32"/>
          <w:lang w:eastAsia="zh-CN"/>
        </w:rPr>
        <w:t>（</w:t>
      </w:r>
      <w:r>
        <w:rPr>
          <w:rFonts w:hint="eastAsia" w:ascii="仿宋" w:hAnsi="仿宋" w:eastAsia="仿宋" w:cs="仿宋"/>
          <w:sz w:val="32"/>
          <w:szCs w:val="32"/>
        </w:rPr>
        <w:t>黄色</w:t>
      </w:r>
      <w:r>
        <w:rPr>
          <w:rFonts w:hint="eastAsia" w:ascii="仿宋" w:hAnsi="仿宋" w:eastAsia="仿宋" w:cs="仿宋"/>
          <w:sz w:val="32"/>
          <w:szCs w:val="32"/>
          <w:lang w:eastAsia="zh-CN"/>
        </w:rPr>
        <w:t>）</w:t>
      </w:r>
      <w:r>
        <w:rPr>
          <w:rFonts w:hint="eastAsia" w:ascii="仿宋" w:hAnsi="仿宋" w:eastAsia="仿宋" w:cs="仿宋"/>
          <w:sz w:val="32"/>
          <w:szCs w:val="32"/>
        </w:rPr>
        <w:t>”、“桂NB9087（黄色）”、“贵GBF867（黄色）”，销售沥青的业务出现了两份不同的运单；另外，安顺润亨化工贸易有限公司记账凭证所附“危险货物运输单”内容与其对应电子运单二维码扫描信息不符，经对严*海进行询问，严*海陈述沥青运输业务记账凭证所附的运单是为了多结算运费伪造的，其中没有二维码的运单、有二维码但是扫码结果与运单上填列资料不一致的均为作假。</w:t>
      </w:r>
    </w:p>
    <w:p w14:paraId="2758E756">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上述事实，有以下证据证实：</w:t>
      </w:r>
    </w:p>
    <w:p w14:paraId="27E030D1">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证据1：银行流水，用于证明上述业务存在资金回流。</w:t>
      </w:r>
    </w:p>
    <w:p w14:paraId="7C2FAC67">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证据2：安顺润亨化工贸易有限公司向你单位销售沥青的货物运输单，用于证明物流依据不实。</w:t>
      </w:r>
    </w:p>
    <w:p w14:paraId="5F964BFD">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证据3：记账凭证、发票复印件及申报表，用于证明你单位取得上述增值税专用发票进行申报抵扣和企业所得税税前扣除。</w:t>
      </w:r>
    </w:p>
    <w:p w14:paraId="14976CEE">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2022年6月，安顺市税务局稽查局将你单位上述虚开发票的线索移送给镇宁布依族苗族自治县公安局经济犯罪侦查大队，经公安机关对王*立案及检察院起诉后，2024年12月30日镇宁布依族苗族自治县人民法院作出王*犯虚开增值税发票罪的刑事判决，《刑事判决书》（（2024）黔0423刑初198号）确认上述贵州宏翼翔汽车销售服务有限公司开具给你单位的6份增值税专用发票（金额460,177.02元，税额59,822.98元）、安顺润亨化工贸易有限公司开具给你单位的91份增值税专用发票（金额8,325,968.72元，税额1,047,999.48元）为虚开发票，判决王*犯虚开增值税专用发票罪，并处罚金人民币5万元。王*提起上诉，经安顺市中级人民法院于2025年3月21日作出终审裁定，《刑事裁定书》（（2025）黔04刑终24号）驳回上诉，维持原判。</w:t>
      </w:r>
    </w:p>
    <w:p w14:paraId="23838E31">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 w:hAnsi="仿宋" w:eastAsia="仿宋" w:cs="仿宋"/>
          <w:sz w:val="32"/>
          <w:szCs w:val="32"/>
        </w:rPr>
        <w:t>3.你单位取得安顺润亨化工贸易有限公司2021年12月29日开具的增值税专用发票26份（发票代码：5200212130，发票号码：01403721</w:t>
      </w:r>
      <w:r>
        <w:rPr>
          <w:rFonts w:hint="eastAsia" w:ascii="仿宋_GB2312" w:hAnsi="Arial" w:eastAsia="仿宋_GB2312"/>
          <w:kern w:val="0"/>
          <w:sz w:val="32"/>
          <w:szCs w:val="32"/>
        </w:rPr>
        <w:t>～</w:t>
      </w:r>
      <w:r>
        <w:rPr>
          <w:rFonts w:hint="eastAsia" w:ascii="仿宋" w:hAnsi="仿宋" w:eastAsia="仿宋" w:cs="仿宋"/>
          <w:sz w:val="32"/>
          <w:szCs w:val="32"/>
        </w:rPr>
        <w:t>01403746），货物劳务名称：*非成品油石油制品*轻质循环油，数量650吨，金额</w:t>
      </w:r>
      <w:r>
        <w:rPr>
          <w:rFonts w:hint="eastAsia" w:ascii="仿宋_GB2312" w:hAnsi="仿宋_GB2312" w:eastAsia="仿宋_GB2312" w:cs="仿宋_GB2312"/>
          <w:sz w:val="32"/>
          <w:szCs w:val="32"/>
        </w:rPr>
        <w:t>2,588,495.52元，税额336,504.48元，价税合计2,925,000.00元。取得</w:t>
      </w:r>
      <w:r>
        <w:rPr>
          <w:rFonts w:hint="eastAsia" w:ascii="仿宋" w:hAnsi="仿宋" w:eastAsia="仿宋" w:cs="仿宋"/>
          <w:sz w:val="32"/>
          <w:szCs w:val="32"/>
        </w:rPr>
        <w:t>安顺润亨化工贸易有限公司2021年12月29日、2021年12月30日开具的增值税专用发票2份（发票代码：5200212130，发票号码：01403747、03371236），货物劳务名称：*运输服务*陆路货物运输服务，数量650吨，金额</w:t>
      </w:r>
      <w:r>
        <w:rPr>
          <w:rFonts w:hint="eastAsia" w:ascii="仿宋_GB2312" w:hAnsi="仿宋_GB2312" w:eastAsia="仿宋_GB2312" w:cs="仿宋_GB2312"/>
          <w:sz w:val="32"/>
          <w:szCs w:val="32"/>
        </w:rPr>
        <w:t>107,339.45元，税额9,660.55元，价税合计117,000.00元。上述发票你单位未用于增值税进项税额申报抵扣，你单位在2021年12月记21#记账凭证中列支主营业务成本3,773,269.03元，所附原始单据即为上述26份轻质循环油及2份运输服务的</w:t>
      </w:r>
      <w:r>
        <w:rPr>
          <w:rFonts w:hint="eastAsia" w:ascii="仿宋" w:hAnsi="仿宋" w:eastAsia="仿宋" w:cs="仿宋"/>
          <w:sz w:val="32"/>
          <w:szCs w:val="32"/>
        </w:rPr>
        <w:t>增值税专用发票。</w:t>
      </w:r>
      <w:r>
        <w:rPr>
          <w:rFonts w:hint="eastAsia" w:ascii="仿宋_GB2312" w:hAnsi="仿宋_GB2312" w:eastAsia="仿宋_GB2312" w:cs="仿宋_GB2312"/>
          <w:sz w:val="32"/>
          <w:szCs w:val="32"/>
        </w:rPr>
        <w:t>经查，上述发票存在以下问题：</w:t>
      </w:r>
    </w:p>
    <w:p w14:paraId="1782F4EB">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hint="eastAsia" w:ascii="仿宋_GB2312" w:hAnsi="仿宋_GB2312" w:eastAsia="仿宋_GB2312" w:cs="仿宋_GB2312"/>
          <w:sz w:val="32"/>
          <w:szCs w:val="32"/>
        </w:rPr>
        <w:t>（1）无真实业务交易。经询问王*和</w:t>
      </w:r>
      <w:r>
        <w:rPr>
          <w:rFonts w:hint="eastAsia" w:ascii="仿宋" w:hAnsi="仿宋" w:eastAsia="仿宋" w:cs="仿宋"/>
          <w:sz w:val="32"/>
          <w:szCs w:val="32"/>
        </w:rPr>
        <w:t>安顺润亨化工贸易有限公司法定代表人严*海，均确认未实际发生上述轻质循环油交易及运输服务。</w:t>
      </w:r>
    </w:p>
    <w:p w14:paraId="72BA0E15">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2）资金存在回流。在没有真实交易的情况下，你单位2022年1月25日通过对公银行账户打款500,000.00元到安顺润亨化工贸易有限公司对公银行账户，安顺润亨化工贸易有限公司通过其法定代表人严*海的银行账户于2022年1月26日、2022年1月28日向王*回款450,000.00元。</w:t>
      </w:r>
    </w:p>
    <w:p w14:paraId="66383159">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上述事实，有以下证据证实：</w:t>
      </w:r>
    </w:p>
    <w:p w14:paraId="6A4DF634">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 w:hAnsi="仿宋" w:eastAsia="仿宋" w:cs="仿宋"/>
          <w:sz w:val="32"/>
          <w:szCs w:val="32"/>
        </w:rPr>
        <w:t>证据1：</w:t>
      </w:r>
      <w:r>
        <w:rPr>
          <w:rFonts w:hint="eastAsia" w:ascii="仿宋_GB2312" w:hAnsi="仿宋_GB2312" w:eastAsia="仿宋_GB2312" w:cs="仿宋_GB2312"/>
          <w:sz w:val="32"/>
          <w:szCs w:val="32"/>
        </w:rPr>
        <w:t>王*、</w:t>
      </w:r>
      <w:r>
        <w:rPr>
          <w:rFonts w:hint="eastAsia" w:ascii="仿宋" w:hAnsi="仿宋" w:eastAsia="仿宋" w:cs="仿宋"/>
          <w:sz w:val="32"/>
          <w:szCs w:val="32"/>
        </w:rPr>
        <w:t>严*海询问笔录，用于证明</w:t>
      </w:r>
      <w:r>
        <w:rPr>
          <w:rFonts w:hint="eastAsia" w:ascii="仿宋_GB2312" w:hAnsi="仿宋_GB2312" w:eastAsia="仿宋_GB2312" w:cs="仿宋_GB2312"/>
          <w:sz w:val="32"/>
          <w:szCs w:val="32"/>
        </w:rPr>
        <w:t>贵州华泰宁安工程建筑设计有限责任公司与安顺润亨化工贸易有限公司无轻质循环油的购销业务。</w:t>
      </w:r>
    </w:p>
    <w:p w14:paraId="603FF1D5">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证据2：银行流水，证明存在资金回流的情况。</w:t>
      </w:r>
    </w:p>
    <w:p w14:paraId="252EBAA6">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证据3：增值税申报表、发票抵扣清册、2021年12月记21#记账凭证、主营业务成本明细账，用于证明上述发票未抵扣增值税进项税额及在企业所得税前列支情况。</w:t>
      </w:r>
    </w:p>
    <w:p w14:paraId="52C6AAA4">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4.你单位2019年6月25日向贵州安顺家喻物业管理有限公司开具增值税专用发票1份（发票代码：5200212130，发票号码：01190976），货物劳务名称：*劳务*维修费，金额41,339.81元，税额1,240.19元，价税合计42,580.00元。经查上述发票存在以下问题：</w:t>
      </w:r>
    </w:p>
    <w:p w14:paraId="6D4D0C6B">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（1）业务不真实。根据罗*的《询问笔录》，上述业务是罗*承接的贵州安顺家喻物业管理有限公司家运天城的房屋维修，与你单位无任何关系，罗*也不属于你单位的工作人员。</w:t>
      </w:r>
    </w:p>
    <w:p w14:paraId="3C9AB91F">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（2）存在支付手续费。经查，上述业务款项是贵州安顺家喻物业管理有限公司直接付款给罗*</w:t>
      </w:r>
      <w:r>
        <w:rPr>
          <w:rFonts w:hint="eastAsia" w:ascii="仿宋" w:hAnsi="仿宋" w:eastAsia="仿宋" w:cs="仿宋"/>
          <w:sz w:val="32"/>
          <w:szCs w:val="32"/>
          <w:lang w:eastAsia="zh-CN"/>
        </w:rPr>
        <w:t>，</w:t>
      </w:r>
      <w:r>
        <w:rPr>
          <w:rFonts w:hint="eastAsia" w:ascii="仿宋" w:hAnsi="仿宋" w:eastAsia="仿宋" w:cs="仿宋"/>
          <w:sz w:val="32"/>
          <w:szCs w:val="32"/>
        </w:rPr>
        <w:t>罗*为了向贵州安顺家喻物业管理有限公司提供发票，通过支付手续费的方式找王*为其提供发票，王*指使贵州理得清财务有限公司员工彭*毕通过微信收取罗*手续费2,129.00元，后彭*毕又将该笔资金转到了贵州理得清财务有限公司微信</w:t>
      </w:r>
      <w:r>
        <w:rPr>
          <w:rFonts w:hint="eastAsia" w:ascii="仿宋" w:hAnsi="仿宋" w:eastAsia="仿宋" w:cs="仿宋"/>
          <w:sz w:val="32"/>
          <w:szCs w:val="32"/>
          <w:lang w:eastAsia="zh-CN"/>
        </w:rPr>
        <w:t>账号</w:t>
      </w:r>
      <w:r>
        <w:rPr>
          <w:rFonts w:hint="eastAsia" w:ascii="仿宋" w:hAnsi="仿宋" w:eastAsia="仿宋" w:cs="仿宋"/>
          <w:sz w:val="32"/>
          <w:szCs w:val="32"/>
        </w:rPr>
        <w:t>。</w:t>
      </w:r>
    </w:p>
    <w:p w14:paraId="39CFAA37">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上述事实，有以下证据证实：</w:t>
      </w:r>
    </w:p>
    <w:p w14:paraId="45037022">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证据1：贵州安顺家喻物业管理有限公司提供的关于罗*承接的维修业务的凭证、报销单、转账凭据等资料，用于证明你单位未与贵州安顺家喻物业管理有限公司发生过业务往来。</w:t>
      </w:r>
    </w:p>
    <w:p w14:paraId="2EF0FF44">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证据2：彭*毕笔录及微信截图，用于证明王*通过控制的贵州理得清财务有限公司收取手续费的情况。</w:t>
      </w:r>
    </w:p>
    <w:p w14:paraId="06CBA5AF">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证据3：罗*笔录，用于证明你单位与贵州安顺家喻物业管理有限公司无实际业务发生。</w:t>
      </w:r>
    </w:p>
    <w:p w14:paraId="72940EBF">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证据4：你单位的社保缴费明细和个税扣缴申报明细，证明罗*不属于你单位的工作人员。</w:t>
      </w:r>
    </w:p>
    <w:p w14:paraId="59C5AB6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根据《中华人民共和国发票管理办法》第二十一条第二款“任何单位和个人不得有下列虚开发票行为：（一）为他人、为自己开具与实际经营业务情况不符的发票；（二）让他人为自己开具与实际经营业务情况不符的发票……”、《中华人民共和国发票管理办法实施细则》第二十四条“填开发票的单位和个人必须在发生经营业务确认营业收入时开具发票。未发生经营业务一律不准开具发票。”、第二十九条“《办法》第二十一条所称与实际经营业务情况不符是指具有下列行为之一的：（一）未购销商品、未提供或者接受服务、未从事其他经营活动，而开具或取得发票；（二）有购销商品、提供或者接受服务、从事其他经营活动，但开具或取得的发票载明的购买方、销售方、商品名称或经营项目、金额等与实际情况不符”之规定，你单位取得、开具的上述126份增值税专用发票属于为他人、让他人为自己开具与实际经营业务情况不符的发票，发票金额共计11,523,320.52元</w:t>
      </w:r>
      <w:r>
        <w:rPr>
          <w:rFonts w:hint="eastAsia" w:ascii="仿宋" w:hAnsi="仿宋" w:eastAsia="仿宋" w:cs="仿宋"/>
          <w:sz w:val="32"/>
          <w:szCs w:val="32"/>
          <w:lang w:eastAsia="zh-CN"/>
        </w:rPr>
        <w:t>，</w:t>
      </w:r>
      <w:r>
        <w:rPr>
          <w:rFonts w:hint="eastAsia" w:ascii="仿宋" w:hAnsi="仿宋" w:eastAsia="仿宋" w:cs="仿宋"/>
          <w:sz w:val="32"/>
          <w:szCs w:val="32"/>
        </w:rPr>
        <w:t>税额1,455,227.68元，价税合计12,978,548.20元。</w:t>
      </w:r>
    </w:p>
    <w:p w14:paraId="2DB874C5">
      <w:pPr>
        <w:pStyle w:val="2"/>
        <w:keepNext w:val="0"/>
        <w:keepLines w:val="0"/>
        <w:pageBreakBefore w:val="0"/>
        <w:numPr>
          <w:ilvl w:val="0"/>
          <w:numId w:val="1"/>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涉税费违法情况</w:t>
      </w:r>
    </w:p>
    <w:p w14:paraId="5066D3C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1.增值税</w:t>
      </w:r>
    </w:p>
    <w:p w14:paraId="1FDB2FE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根据《中华人民共和国增值税暂行条例》第九条“纳税人购进货物、劳务、服务、无形资产、不动产，取得的增值税扣税凭证不符合法律、行政法规或者国务院税务主管部门有关规定的，其进项税额不得从销项税额中抵扣。”、《中华人民共和国增值税暂行条例实施细则》第十九条“条例第九条所称增值税扣税凭证，是指增值税专用发票、海关进口增值税专用缴款书、农产品收购发票和农产品销售发票以及运输费用结算单据。”、《国家税务总局关于纳税人虚开增值税专用发票征补税款问题的公告》（国家税务总局公告2012年第33号）“……纳税人取得虚开的增值税专用发票，不得作为增值税合法有效的扣税凭证抵扣其进项税额。”之规定，你单位取得的上述虚开增值税专用发票不得抵扣进项税额，应作进项税额转出，你单位用于抵扣进项税额的虚开增值税专用发票共计97份（金额8,786,145.74元，税额1,107,822.46元），造成少缴增值税1,107,822.46元（其中411,336.97元为你单位2021年7月取得的留抵退税款）。鉴于《贵州省镇宁布依族苗族自治县人民法院刑事判决书》（〔2024〕黔0423刑初198号）作出的判决：“王*退缴的违法所得人民币20万元，依法返还国家税务总局镇宁布依族苗族自治县税务局；向王*追缴违法所得人民币21.133697万元，依法返还国家税务总局镇宁布依族苗族自治县税务局”，你单位以增值税留抵退税方式取得的411,336.97元由贵州省镇宁布依族苗族自治县人民法院追缴，因你单位为非正常状态，税款无法返还国家税务总局镇宁布依族苗族自治县税务局，现通过本次稽查查补方式返还。同时，我局向你单位追缴2020年至2021年少缴的增值税696,485.49元。</w:t>
      </w:r>
    </w:p>
    <w:p w14:paraId="1035D0C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2.城市维护建设税</w:t>
      </w:r>
    </w:p>
    <w:p w14:paraId="52028FE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根据《中华人民共和国城市维护建设税暂行条例》</w:t>
      </w:r>
      <w:r>
        <w:rPr>
          <w:rFonts w:hint="eastAsia" w:ascii="仿宋_GB2312" w:hAnsi="宋体" w:eastAsia="仿宋_GB2312" w:cs="宋体"/>
          <w:kern w:val="0"/>
          <w:sz w:val="32"/>
          <w:szCs w:val="32"/>
          <w:highlight w:val="none"/>
          <w:lang w:val="en-US" w:eastAsia="zh-CN"/>
        </w:rPr>
        <w:t>第二条“凡缴纳消费税、增值税、营业税的单位和个人，都是城市维护建设税的纳税义务人（以下简称纳税人），都应当依照本条例的规定缴纳城市维护建设税”、</w:t>
      </w:r>
      <w:r>
        <w:rPr>
          <w:rFonts w:hint="eastAsia" w:ascii="仿宋_GB2312" w:hAnsi="仿宋_GB2312" w:eastAsia="仿宋_GB2312" w:cs="仿宋_GB2312"/>
          <w:sz w:val="32"/>
          <w:szCs w:val="32"/>
          <w:highlight w:val="none"/>
          <w:lang w:val="en-US" w:eastAsia="zh-CN"/>
        </w:rPr>
        <w:t>第三条“城市维护建设税，以纳税人实际缴纳的消费税、增值税、营业税税额为计税依据，分别与消费税、增值税、营业税同时缴纳。”、第四条“城市维护建设税税率如下：……纳税人所在地在县城、镇的，税率为5%……”、《中华人民共和国城市维护建设税法》（中华人民共和国主席令第五十一号）第一条“在中华人民共和国境内缴纳增值税、消费税的单位和个人，为城市维护建设税的纳税人，应当依照本法规定缴纳城市维护建设税。”、第二条第一款“城市维护建设税以纳税人依法实际缴纳的增值税、消费税税额为计税依据。”、第四条“城市维护建设税税率如下：……（二）纳税人所在地在县城、镇的，税率为百分之五……”、《贵州省财政厅 国家税务总局贵州省税务局关于进一步实施“六税两费”减免政策的通知》（黔财税〔2022〕8号）第一条“对增值税小规模纳税人继续按50%的税额减征资源税、城市维护建设税、房产税、城镇土地使用税、印花税（不含证券交易印花税）、耕地占用税和教育费附加、地方教育附加（简称‘六税两费’）；同时，将小型微利企业和个体工商户纳入政策适用范围，即按50%的税额减征‘六税两费’。”、第三条“本通知执行期限为2022年1月1日至2024年12月31日。”之规定，你单位2022年城市维护建设税、教育费附加、地方教育附加可按50%的税额减征。你单位应就少缴的增值税</w:t>
      </w:r>
      <w:r>
        <w:rPr>
          <w:rFonts w:hint="eastAsia" w:ascii="仿宋" w:hAnsi="仿宋" w:eastAsia="仿宋" w:cs="仿宋"/>
          <w:sz w:val="32"/>
          <w:szCs w:val="32"/>
          <w:highlight w:val="none"/>
          <w:lang w:val="en-US" w:eastAsia="zh-CN"/>
        </w:rPr>
        <w:t>696,485.49元补缴城市维护建设税</w:t>
      </w:r>
      <w:r>
        <w:rPr>
          <w:rFonts w:hint="eastAsia" w:ascii="仿宋" w:hAnsi="仿宋" w:eastAsia="仿宋" w:cs="仿宋"/>
          <w:color w:val="auto"/>
          <w:sz w:val="32"/>
          <w:szCs w:val="32"/>
          <w:highlight w:val="none"/>
          <w:lang w:val="en-US" w:eastAsia="zh-CN"/>
        </w:rPr>
        <w:t>34,824.28元；你单位利用取得的留抵退税款411,336.97元抵减2021年9月至2022年3月的城市维护建设税计税依据411,336.97元，造成少缴城市维护建设税15,195.38元。</w:t>
      </w:r>
    </w:p>
    <w:p w14:paraId="6780A6D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color w:val="auto"/>
          <w:sz w:val="32"/>
          <w:szCs w:val="32"/>
          <w:highlight w:val="none"/>
          <w:lang w:val="en-US" w:eastAsia="zh-CN"/>
        </w:rPr>
        <w:t>综上，你单位</w:t>
      </w:r>
      <w:r>
        <w:rPr>
          <w:rFonts w:hint="default" w:ascii="仿宋" w:hAnsi="仿宋" w:eastAsia="仿宋" w:cs="仿宋"/>
          <w:color w:val="auto"/>
          <w:sz w:val="32"/>
          <w:szCs w:val="32"/>
          <w:highlight w:val="none"/>
          <w:lang w:val="en-US" w:eastAsia="zh-CN"/>
        </w:rPr>
        <w:t>2020年至202</w:t>
      </w:r>
      <w:r>
        <w:rPr>
          <w:rFonts w:hint="eastAsia" w:ascii="仿宋" w:hAnsi="仿宋" w:eastAsia="仿宋" w:cs="仿宋"/>
          <w:color w:val="auto"/>
          <w:sz w:val="32"/>
          <w:szCs w:val="32"/>
          <w:highlight w:val="none"/>
          <w:lang w:val="en-US" w:eastAsia="zh-CN"/>
        </w:rPr>
        <w:t>2</w:t>
      </w:r>
      <w:r>
        <w:rPr>
          <w:rFonts w:hint="default" w:ascii="仿宋" w:hAnsi="仿宋" w:eastAsia="仿宋" w:cs="仿宋"/>
          <w:color w:val="auto"/>
          <w:sz w:val="32"/>
          <w:szCs w:val="32"/>
          <w:highlight w:val="none"/>
          <w:lang w:val="en-US" w:eastAsia="zh-CN"/>
        </w:rPr>
        <w:t>年</w:t>
      </w:r>
      <w:r>
        <w:rPr>
          <w:rFonts w:hint="eastAsia" w:ascii="仿宋" w:hAnsi="仿宋" w:eastAsia="仿宋" w:cs="仿宋"/>
          <w:color w:val="auto"/>
          <w:sz w:val="32"/>
          <w:szCs w:val="32"/>
          <w:highlight w:val="none"/>
          <w:lang w:val="en-US" w:eastAsia="zh-CN"/>
        </w:rPr>
        <w:t>少缴城市维护建设税50,019.66元。</w:t>
      </w:r>
    </w:p>
    <w:p w14:paraId="24A8917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3.教育费附加、地方教育附加</w:t>
      </w:r>
    </w:p>
    <w:p w14:paraId="70C3262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根据《征收教育费附加的暂行规定》第二条</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凡缴纳消费税、增值税、营业税的单位和个人，除按照《国务院关于筹措农村学校办学经费的通知》的规定，缴纳农村教育事业费附加的单位外，都应当依照本规定缴纳教育费附加。</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、第三条第一款“教育费附加，以各单位和个人实际缴纳的增值税、营业税、消费税的税额为计征依据，教育费附加率为3%，分别与增值税、营业税、消费税同时缴纳。”</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贵州省教育经费筹措管理办法》第七条“教育费附加按增值税、消费税和营业税税额的3%征收，地方教育附加按增值税、消费税和营业税税额的2%征收”、第九条“教育费附加和地方教育附加应当在缴纳增值税、消费税和营业税时一并缴纳</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”之规定，</w:t>
      </w:r>
      <w:r>
        <w:rPr>
          <w:rFonts w:hint="eastAsia" w:ascii="仿宋" w:hAnsi="仿宋" w:eastAsia="仿宋" w:cs="仿宋"/>
          <w:sz w:val="32"/>
          <w:szCs w:val="32"/>
          <w:highlight w:val="none"/>
          <w:lang w:val="en-US" w:eastAsia="zh-CN"/>
        </w:rPr>
        <w:t>你单位</w:t>
      </w:r>
      <w:r>
        <w:rPr>
          <w:rFonts w:hint="eastAsia" w:ascii="仿宋_GB2312" w:hAnsi="仿宋_GB2312" w:eastAsia="仿宋_GB2312" w:cs="仿宋_GB2312"/>
          <w:sz w:val="32"/>
          <w:szCs w:val="32"/>
          <w:highlight w:val="none"/>
          <w:lang w:val="en-US" w:eastAsia="zh-CN"/>
        </w:rPr>
        <w:t>应就少缴的增值税</w:t>
      </w:r>
      <w:r>
        <w:rPr>
          <w:rFonts w:hint="eastAsia" w:ascii="仿宋" w:hAnsi="仿宋" w:eastAsia="仿宋" w:cs="仿宋"/>
          <w:sz w:val="32"/>
          <w:szCs w:val="32"/>
          <w:highlight w:val="none"/>
          <w:lang w:val="en-US" w:eastAsia="zh-CN"/>
        </w:rPr>
        <w:t>696,485.49元补缴</w:t>
      </w:r>
      <w:r>
        <w:rPr>
          <w:rFonts w:hint="default" w:ascii="仿宋" w:hAnsi="仿宋" w:eastAsia="仿宋" w:cs="仿宋"/>
          <w:sz w:val="32"/>
          <w:szCs w:val="32"/>
          <w:highlight w:val="none"/>
          <w:lang w:val="en-US" w:eastAsia="zh-CN"/>
        </w:rPr>
        <w:t>教育费附加</w:t>
      </w:r>
      <w:r>
        <w:rPr>
          <w:rFonts w:hint="eastAsia" w:ascii="仿宋" w:hAnsi="仿宋" w:eastAsia="仿宋" w:cs="仿宋"/>
          <w:sz w:val="32"/>
          <w:szCs w:val="32"/>
          <w:highlight w:val="none"/>
          <w:lang w:val="en-US" w:eastAsia="zh-CN"/>
        </w:rPr>
        <w:t>20,894.56元，应补缴地方教育附加13,929.71元。你单位利用取得的留抵退税411,336.97元抵减2021年9月至2022年3月的教育费附加、地方教育附加计税依据411,336.97元，造成少缴教育费附加9,117.23元、地方教育附加6,078.15元。</w:t>
      </w:r>
    </w:p>
    <w:p w14:paraId="78979F2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综上，你单位</w:t>
      </w:r>
      <w:r>
        <w:rPr>
          <w:rFonts w:hint="default" w:ascii="仿宋" w:hAnsi="仿宋" w:eastAsia="仿宋" w:cs="仿宋"/>
          <w:sz w:val="32"/>
          <w:szCs w:val="32"/>
          <w:highlight w:val="none"/>
          <w:lang w:val="en-US" w:eastAsia="zh-CN"/>
        </w:rPr>
        <w:t>2020年至202</w:t>
      </w:r>
      <w:r>
        <w:rPr>
          <w:rFonts w:hint="eastAsia" w:ascii="仿宋" w:hAnsi="仿宋" w:eastAsia="仿宋" w:cs="仿宋"/>
          <w:sz w:val="32"/>
          <w:szCs w:val="32"/>
          <w:highlight w:val="none"/>
          <w:lang w:val="en-US" w:eastAsia="zh-CN"/>
        </w:rPr>
        <w:t>2</w:t>
      </w:r>
      <w:r>
        <w:rPr>
          <w:rFonts w:hint="default" w:ascii="仿宋" w:hAnsi="仿宋" w:eastAsia="仿宋" w:cs="仿宋"/>
          <w:sz w:val="32"/>
          <w:szCs w:val="32"/>
          <w:highlight w:val="none"/>
          <w:lang w:val="en-US" w:eastAsia="zh-CN"/>
        </w:rPr>
        <w:t>年</w:t>
      </w:r>
      <w:r>
        <w:rPr>
          <w:rFonts w:hint="eastAsia" w:ascii="仿宋" w:hAnsi="仿宋" w:eastAsia="仿宋" w:cs="仿宋"/>
          <w:sz w:val="32"/>
          <w:szCs w:val="32"/>
          <w:highlight w:val="none"/>
          <w:lang w:val="en-US" w:eastAsia="zh-CN"/>
        </w:rPr>
        <w:t>少缴</w:t>
      </w:r>
      <w:r>
        <w:rPr>
          <w:rFonts w:hint="default" w:ascii="仿宋" w:hAnsi="仿宋" w:eastAsia="仿宋" w:cs="仿宋"/>
          <w:sz w:val="32"/>
          <w:szCs w:val="32"/>
          <w:highlight w:val="none"/>
          <w:lang w:val="en-US" w:eastAsia="zh-CN"/>
        </w:rPr>
        <w:t>教育费附加</w:t>
      </w:r>
      <w:r>
        <w:rPr>
          <w:rFonts w:hint="eastAsia" w:ascii="仿宋" w:hAnsi="仿宋" w:eastAsia="仿宋" w:cs="仿宋"/>
          <w:sz w:val="32"/>
          <w:szCs w:val="32"/>
          <w:highlight w:val="none"/>
          <w:lang w:val="en-US" w:eastAsia="zh-CN"/>
        </w:rPr>
        <w:t>30,011.79元、地方教育附加20,007.86元。</w:t>
      </w:r>
    </w:p>
    <w:p w14:paraId="28ABC3E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4.印花税</w:t>
      </w:r>
    </w:p>
    <w:p w14:paraId="4384733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经查，你单位2019年至2022年均未缴纳印花税。你单位2020年7月与贵州建工镇宁建筑工程有限公司签订材料采购合同，合同金额285,305.00元；2020年7月与贵州建工镇宁建筑工程有限公司</w:t>
      </w:r>
      <w:r>
        <w:rPr>
          <w:rFonts w:hint="eastAsia" w:ascii="仿宋_GB2312" w:hAnsi="仿宋_GB2312" w:eastAsia="仿宋_GB2312" w:cs="仿宋_GB2312"/>
          <w:color w:val="auto"/>
          <w:sz w:val="32"/>
          <w:szCs w:val="32"/>
          <w:highlight w:val="none"/>
          <w:lang w:val="en-US" w:eastAsia="zh-CN"/>
        </w:rPr>
        <w:t>签订水泥购销合同，合同金额32,000.00元；2021年4月与贵州黔诚志海建筑工程有限责任公司签订水泥供应合同，合同金额725,000.00元。</w:t>
      </w:r>
    </w:p>
    <w:p w14:paraId="407DBAA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中华人民共和国印花税暂行条例》第一条“在中华人民共和国境内书立、领受本条例所列举凭证的单位和个人，都是印花税的纳税义务人（以下简称纳税人），应当按照本条例规定缴纳印花税。”、第二条“下列凭证为应纳税凭证：1.购销、加工承揽、建设工程承包、财产租赁、货物运输、仓储保管、借款、财产保险、技术合同或者具有合同性质的凭证……”、第三条“纳税人根据应纳税凭证的性质，分别按比例税率或者按件定额计算应纳税额。具体税率、税额的确定，依照本条例所附《印花税税目税率表》执行。应纳税额不足一角的，免纳印花税。应纳税额在一角以上的，其税额尾数不满五分的不计，满五分的按一角计算缴纳。”之规定，你单位应补缴印花税312.70元。</w:t>
      </w:r>
    </w:p>
    <w:p w14:paraId="1E32093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上述违法事实，有以下证据证实：</w:t>
      </w:r>
    </w:p>
    <w:p w14:paraId="0DC6AE4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 w:hAnsi="仿宋" w:eastAsia="仿宋" w:cs="仿宋"/>
          <w:sz w:val="32"/>
          <w:szCs w:val="32"/>
          <w:highlight w:val="none"/>
          <w:lang w:val="en-US" w:eastAsia="zh-CN"/>
        </w:rPr>
        <w:t>证据1：购销合同，证明你单位签订合同情况。</w:t>
      </w:r>
    </w:p>
    <w:p w14:paraId="5D8E145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5.企业所得税</w:t>
      </w:r>
    </w:p>
    <w:p w14:paraId="501C2A9C">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highlight w:val="none"/>
        </w:rPr>
      </w:pPr>
      <w:r>
        <w:rPr>
          <w:rFonts w:hint="eastAsia" w:ascii="仿宋" w:hAnsi="仿宋" w:eastAsia="仿宋" w:cs="仿宋"/>
          <w:sz w:val="32"/>
          <w:szCs w:val="32"/>
          <w:highlight w:val="none"/>
        </w:rPr>
        <w:t>根据《中华人民共和国企业所得税法》第八条“企业实际发生的与取得收入有关的、合理的支出，包括成本、费用、税金、损失和其他支出，准予在计算应纳税所得额时扣除。”</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第十条</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在计算应纳税所得额时，下列支出不得扣除：</w:t>
      </w:r>
      <w:r>
        <w:rPr>
          <w:rFonts w:hint="eastAsia" w:ascii="仿宋" w:hAnsi="仿宋" w:eastAsia="仿宋" w:cs="仿宋"/>
          <w:sz w:val="32"/>
          <w:szCs w:val="32"/>
          <w:highlight w:val="none"/>
          <w:lang w:eastAsia="zh-CN"/>
        </w:rPr>
        <w:t>……（八）与取得收入无关的其他支出。”《</w:t>
      </w:r>
      <w:r>
        <w:rPr>
          <w:rFonts w:hint="eastAsia" w:ascii="仿宋" w:hAnsi="仿宋" w:eastAsia="仿宋" w:cs="仿宋"/>
          <w:sz w:val="32"/>
          <w:szCs w:val="32"/>
          <w:highlight w:val="none"/>
        </w:rPr>
        <w:t>企业所得税税前扣除凭证管理办法》第十二条“企业取得私自印制、伪造、变造、作废、开票方非法取得、虚开、填写不规范等不符合规定的发票</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以下简称</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不合规发票</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，以及取得不符合国家法律、法规等相关规定的其他外部凭证</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以下简称</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不合规其他外部凭证</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，不得作为税前扣除凭证。”之规定，</w:t>
      </w:r>
      <w:r>
        <w:rPr>
          <w:rFonts w:hint="eastAsia" w:ascii="仿宋" w:hAnsi="仿宋" w:eastAsia="仿宋" w:cs="仿宋"/>
          <w:sz w:val="32"/>
          <w:szCs w:val="32"/>
          <w:highlight w:val="none"/>
          <w:lang w:eastAsia="zh-CN"/>
        </w:rPr>
        <w:t>你单位</w:t>
      </w:r>
      <w:r>
        <w:rPr>
          <w:rFonts w:hint="eastAsia" w:ascii="仿宋" w:hAnsi="仿宋" w:eastAsia="仿宋" w:cs="仿宋"/>
          <w:sz w:val="32"/>
          <w:szCs w:val="32"/>
          <w:highlight w:val="none"/>
        </w:rPr>
        <w:t>取得贵州宏翼翔汽车销售服务有限公司、安顺润亨化工贸易有限公司的上述虚开发票不得作为税前扣除凭证，且2021年在账簿上多列的支出不得在企业所得税税前扣除。2020年应调增应纳税所得额8,786,145.74元，2021年应调增应纳税所得额3,773,269.03元。</w:t>
      </w:r>
    </w:p>
    <w:p w14:paraId="767B7C5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根据《中华人民共和国企业所得税法》第八条“企业实际发生的与取得收入有关的、合理的支出，包括成本、费用、税金、损失和其他支出，准予在计算应纳税所得额时扣除。”、《中华人民共和国企业所得税法实施条例》第三十一条“企业所得税法第八条所称税金，是指企业发生的除企业所得税和允许抵扣的增值税以外的各项税金及其附加。”之规定，</w:t>
      </w:r>
      <w:r>
        <w:rPr>
          <w:rFonts w:hint="eastAsia" w:ascii="仿宋" w:hAnsi="仿宋" w:eastAsia="仿宋" w:cs="仿宋"/>
          <w:sz w:val="32"/>
          <w:szCs w:val="32"/>
          <w:highlight w:val="none"/>
        </w:rPr>
        <w:t>本次稽查</w:t>
      </w:r>
      <w:r>
        <w:rPr>
          <w:rFonts w:hint="eastAsia" w:ascii="仿宋" w:hAnsi="仿宋" w:eastAsia="仿宋" w:cs="仿宋"/>
          <w:sz w:val="32"/>
          <w:szCs w:val="32"/>
          <w:highlight w:val="none"/>
          <w:lang w:eastAsia="zh-CN"/>
        </w:rPr>
        <w:t>你单位</w:t>
      </w:r>
      <w:r>
        <w:rPr>
          <w:rFonts w:hint="eastAsia" w:ascii="仿宋" w:hAnsi="仿宋" w:eastAsia="仿宋" w:cs="仿宋"/>
          <w:sz w:val="32"/>
          <w:szCs w:val="32"/>
          <w:highlight w:val="none"/>
        </w:rPr>
        <w:t>2020年应补缴的城市维护建设税</w:t>
      </w:r>
      <w:r>
        <w:rPr>
          <w:rFonts w:hint="eastAsia" w:ascii="仿宋" w:hAnsi="仿宋" w:eastAsia="仿宋" w:cs="仿宋"/>
          <w:color w:val="auto"/>
          <w:sz w:val="32"/>
          <w:szCs w:val="32"/>
          <w:highlight w:val="none"/>
          <w:lang w:val="en-US" w:eastAsia="zh-CN"/>
        </w:rPr>
        <w:t>20,172.19元、</w:t>
      </w:r>
      <w:r>
        <w:rPr>
          <w:rFonts w:hint="eastAsia" w:ascii="仿宋" w:hAnsi="仿宋" w:eastAsia="仿宋" w:cs="仿宋"/>
          <w:sz w:val="32"/>
          <w:szCs w:val="32"/>
          <w:highlight w:val="none"/>
        </w:rPr>
        <w:t>教育费附加</w:t>
      </w:r>
      <w:r>
        <w:rPr>
          <w:rFonts w:hint="eastAsia" w:ascii="仿宋" w:hAnsi="仿宋" w:eastAsia="仿宋" w:cs="仿宋"/>
          <w:sz w:val="32"/>
          <w:szCs w:val="32"/>
          <w:highlight w:val="none"/>
          <w:lang w:val="en-US" w:eastAsia="zh-CN"/>
        </w:rPr>
        <w:t>12,103.32元、</w:t>
      </w:r>
      <w:r>
        <w:rPr>
          <w:rFonts w:hint="eastAsia" w:ascii="仿宋" w:hAnsi="仿宋" w:eastAsia="仿宋" w:cs="仿宋"/>
          <w:sz w:val="32"/>
          <w:szCs w:val="32"/>
          <w:highlight w:val="none"/>
        </w:rPr>
        <w:t>地方教育附加</w:t>
      </w:r>
      <w:r>
        <w:rPr>
          <w:rFonts w:hint="eastAsia" w:ascii="仿宋" w:hAnsi="仿宋" w:eastAsia="仿宋" w:cs="仿宋"/>
          <w:sz w:val="32"/>
          <w:szCs w:val="32"/>
          <w:highlight w:val="none"/>
          <w:lang w:val="en-US" w:eastAsia="zh-CN"/>
        </w:rPr>
        <w:t>8,068.88元、</w:t>
      </w:r>
      <w:r>
        <w:rPr>
          <w:rFonts w:hint="eastAsia" w:ascii="仿宋" w:hAnsi="仿宋" w:eastAsia="仿宋" w:cs="仿宋"/>
          <w:sz w:val="32"/>
          <w:szCs w:val="32"/>
          <w:highlight w:val="none"/>
        </w:rPr>
        <w:t>印花税95.2</w:t>
      </w:r>
      <w:r>
        <w:rPr>
          <w:rFonts w:ascii="仿宋" w:hAnsi="仿宋" w:eastAsia="仿宋" w:cs="仿宋"/>
          <w:sz w:val="32"/>
          <w:szCs w:val="32"/>
          <w:highlight w:val="none"/>
        </w:rPr>
        <w:t>0</w:t>
      </w:r>
      <w:r>
        <w:rPr>
          <w:rFonts w:hint="eastAsia" w:ascii="仿宋" w:hAnsi="仿宋" w:eastAsia="仿宋" w:cs="仿宋"/>
          <w:sz w:val="32"/>
          <w:szCs w:val="32"/>
          <w:highlight w:val="none"/>
        </w:rPr>
        <w:t>元准予在企业所得税前扣除，</w:t>
      </w:r>
      <w:r>
        <w:rPr>
          <w:rFonts w:ascii="仿宋" w:hAnsi="仿宋" w:eastAsia="仿宋" w:cs="仿宋"/>
          <w:sz w:val="32"/>
          <w:szCs w:val="32"/>
          <w:highlight w:val="none"/>
        </w:rPr>
        <w:t>应</w:t>
      </w:r>
      <w:r>
        <w:rPr>
          <w:rFonts w:hint="eastAsia" w:ascii="仿宋" w:hAnsi="仿宋" w:eastAsia="仿宋" w:cs="仿宋"/>
          <w:sz w:val="32"/>
          <w:szCs w:val="32"/>
          <w:highlight w:val="none"/>
        </w:rPr>
        <w:t>调减2020年企业所得税应纳税所得额40,439.5</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元；2021年应补缴</w:t>
      </w:r>
      <w:r>
        <w:rPr>
          <w:rFonts w:ascii="仿宋" w:hAnsi="仿宋" w:eastAsia="仿宋" w:cs="仿宋"/>
          <w:sz w:val="32"/>
          <w:szCs w:val="32"/>
          <w:highlight w:val="none"/>
        </w:rPr>
        <w:t>的</w:t>
      </w:r>
      <w:r>
        <w:rPr>
          <w:rFonts w:hint="eastAsia" w:ascii="仿宋" w:hAnsi="仿宋" w:eastAsia="仿宋" w:cs="仿宋"/>
          <w:sz w:val="32"/>
          <w:szCs w:val="32"/>
          <w:highlight w:val="none"/>
        </w:rPr>
        <w:t>城市维护建设税</w:t>
      </w:r>
      <w:r>
        <w:rPr>
          <w:rFonts w:hint="eastAsia" w:ascii="仿宋" w:hAnsi="仿宋" w:eastAsia="仿宋" w:cs="仿宋"/>
          <w:color w:val="auto"/>
          <w:sz w:val="32"/>
          <w:szCs w:val="32"/>
          <w:highlight w:val="none"/>
          <w:lang w:val="en-US" w:eastAsia="zh-CN"/>
        </w:rPr>
        <w:t>24,475.99元</w:t>
      </w:r>
      <w:r>
        <w:rPr>
          <w:rFonts w:hint="eastAsia" w:ascii="仿宋" w:hAnsi="仿宋" w:eastAsia="仿宋" w:cs="仿宋"/>
          <w:sz w:val="32"/>
          <w:szCs w:val="32"/>
          <w:highlight w:val="none"/>
        </w:rPr>
        <w:t>、教育费附加</w:t>
      </w:r>
      <w:r>
        <w:rPr>
          <w:rFonts w:hint="eastAsia" w:ascii="仿宋" w:hAnsi="仿宋" w:eastAsia="仿宋" w:cs="仿宋"/>
          <w:sz w:val="32"/>
          <w:szCs w:val="32"/>
          <w:highlight w:val="none"/>
          <w:lang w:val="en-US" w:eastAsia="zh-CN"/>
        </w:rPr>
        <w:t>14,685.58元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地方教育附加</w:t>
      </w:r>
      <w:r>
        <w:rPr>
          <w:rFonts w:hint="eastAsia" w:ascii="仿宋" w:hAnsi="仿宋" w:eastAsia="仿宋" w:cs="仿宋"/>
          <w:sz w:val="32"/>
          <w:szCs w:val="32"/>
          <w:highlight w:val="none"/>
          <w:lang w:val="en-US" w:eastAsia="zh-CN"/>
        </w:rPr>
        <w:t>9,790.39元</w:t>
      </w:r>
      <w:r>
        <w:rPr>
          <w:rFonts w:hint="eastAsia" w:ascii="仿宋" w:hAnsi="仿宋" w:eastAsia="仿宋" w:cs="仿宋"/>
          <w:sz w:val="32"/>
          <w:szCs w:val="32"/>
          <w:highlight w:val="none"/>
        </w:rPr>
        <w:t>、印花税</w:t>
      </w:r>
      <w:r>
        <w:rPr>
          <w:rFonts w:ascii="仿宋" w:hAnsi="仿宋" w:eastAsia="仿宋" w:cs="仿宋"/>
          <w:sz w:val="32"/>
          <w:szCs w:val="32"/>
          <w:highlight w:val="none"/>
        </w:rPr>
        <w:t>217.50</w:t>
      </w:r>
      <w:r>
        <w:rPr>
          <w:rFonts w:hint="eastAsia" w:ascii="仿宋" w:hAnsi="仿宋" w:eastAsia="仿宋" w:cs="仿宋"/>
          <w:sz w:val="32"/>
          <w:szCs w:val="32"/>
          <w:highlight w:val="none"/>
        </w:rPr>
        <w:t>元准予在企业所得税前扣除，</w:t>
      </w:r>
      <w:r>
        <w:rPr>
          <w:rFonts w:ascii="仿宋" w:hAnsi="仿宋" w:eastAsia="仿宋" w:cs="仿宋"/>
          <w:sz w:val="32"/>
          <w:szCs w:val="32"/>
          <w:highlight w:val="none"/>
        </w:rPr>
        <w:t>应</w:t>
      </w:r>
      <w:r>
        <w:rPr>
          <w:rFonts w:hint="eastAsia" w:ascii="仿宋" w:hAnsi="仿宋" w:eastAsia="仿宋" w:cs="仿宋"/>
          <w:sz w:val="32"/>
          <w:szCs w:val="32"/>
          <w:highlight w:val="none"/>
        </w:rPr>
        <w:t>调减202</w:t>
      </w:r>
      <w:r>
        <w:rPr>
          <w:rFonts w:ascii="仿宋" w:hAnsi="仿宋" w:eastAsia="仿宋" w:cs="仿宋"/>
          <w:sz w:val="32"/>
          <w:szCs w:val="32"/>
          <w:highlight w:val="none"/>
        </w:rPr>
        <w:t>1</w:t>
      </w:r>
      <w:r>
        <w:rPr>
          <w:rFonts w:hint="eastAsia" w:ascii="仿宋" w:hAnsi="仿宋" w:eastAsia="仿宋" w:cs="仿宋"/>
          <w:sz w:val="32"/>
          <w:szCs w:val="32"/>
          <w:highlight w:val="none"/>
        </w:rPr>
        <w:t>年企业所得税应纳税所得额</w:t>
      </w:r>
      <w:r>
        <w:rPr>
          <w:rFonts w:hint="eastAsia" w:ascii="仿宋" w:hAnsi="仿宋" w:eastAsia="仿宋" w:cs="仿宋"/>
          <w:sz w:val="32"/>
          <w:szCs w:val="32"/>
          <w:highlight w:val="none"/>
          <w:lang w:val="en-US" w:eastAsia="zh-CN"/>
        </w:rPr>
        <w:t>49</w:t>
      </w:r>
      <w:r>
        <w:rPr>
          <w:rFonts w:ascii="仿宋" w:hAnsi="仿宋" w:eastAsia="仿宋" w:cs="仿宋"/>
          <w:sz w:val="32"/>
          <w:szCs w:val="32"/>
          <w:highlight w:val="none"/>
        </w:rPr>
        <w:t>,</w:t>
      </w:r>
      <w:r>
        <w:rPr>
          <w:rFonts w:hint="eastAsia" w:ascii="仿宋" w:hAnsi="仿宋" w:eastAsia="仿宋" w:cs="仿宋"/>
          <w:sz w:val="32"/>
          <w:szCs w:val="32"/>
          <w:highlight w:val="none"/>
          <w:lang w:val="en-US" w:eastAsia="zh-CN"/>
        </w:rPr>
        <w:t>169</w:t>
      </w:r>
      <w:r>
        <w:rPr>
          <w:rFonts w:ascii="仿宋" w:hAnsi="仿宋" w:eastAsia="仿宋" w:cs="仿宋"/>
          <w:sz w:val="32"/>
          <w:szCs w:val="32"/>
          <w:highlight w:val="none"/>
        </w:rPr>
        <w:t>.</w:t>
      </w:r>
      <w:r>
        <w:rPr>
          <w:rFonts w:hint="eastAsia" w:ascii="仿宋" w:hAnsi="仿宋" w:eastAsia="仿宋" w:cs="仿宋"/>
          <w:sz w:val="32"/>
          <w:szCs w:val="32"/>
          <w:highlight w:val="none"/>
          <w:lang w:val="en-US" w:eastAsia="zh-CN"/>
        </w:rPr>
        <w:t>46</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eastAsia="zh-CN"/>
        </w:rPr>
        <w:t>。</w:t>
      </w:r>
    </w:p>
    <w:p w14:paraId="4AAB191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综上，</w:t>
      </w:r>
      <w:r>
        <w:rPr>
          <w:rFonts w:hint="eastAsia" w:ascii="仿宋" w:hAnsi="仿宋" w:eastAsia="仿宋" w:cs="仿宋"/>
          <w:sz w:val="32"/>
          <w:szCs w:val="32"/>
          <w:highlight w:val="none"/>
          <w:lang w:val="en-US" w:eastAsia="zh-CN"/>
        </w:rPr>
        <w:t>你单位</w:t>
      </w:r>
      <w:r>
        <w:rPr>
          <w:rFonts w:hint="default" w:ascii="仿宋" w:hAnsi="仿宋" w:eastAsia="仿宋" w:cs="仿宋"/>
          <w:sz w:val="32"/>
          <w:szCs w:val="32"/>
          <w:highlight w:val="none"/>
          <w:lang w:val="en-US" w:eastAsia="zh-CN"/>
        </w:rPr>
        <w:t>2020年应调增企业所得税应纳税所得额8,745,706.1</w:t>
      </w:r>
      <w:r>
        <w:rPr>
          <w:rFonts w:hint="eastAsia" w:ascii="仿宋" w:hAnsi="仿宋" w:eastAsia="仿宋" w:cs="仿宋"/>
          <w:sz w:val="32"/>
          <w:szCs w:val="32"/>
          <w:highlight w:val="none"/>
          <w:lang w:val="en-US" w:eastAsia="zh-CN"/>
        </w:rPr>
        <w:t>5</w:t>
      </w:r>
      <w:r>
        <w:rPr>
          <w:rFonts w:hint="default" w:ascii="仿宋" w:hAnsi="仿宋" w:eastAsia="仿宋" w:cs="仿宋"/>
          <w:sz w:val="32"/>
          <w:szCs w:val="32"/>
          <w:highlight w:val="none"/>
          <w:lang w:val="en-US" w:eastAsia="zh-CN"/>
        </w:rPr>
        <w:t>元，</w:t>
      </w:r>
      <w:r>
        <w:rPr>
          <w:rFonts w:hint="eastAsia" w:ascii="仿宋" w:hAnsi="仿宋" w:eastAsia="仿宋" w:cs="仿宋"/>
          <w:sz w:val="32"/>
          <w:szCs w:val="32"/>
          <w:highlight w:val="none"/>
          <w:lang w:val="en-US" w:eastAsia="zh-CN"/>
        </w:rPr>
        <w:t>你单位</w:t>
      </w:r>
      <w:r>
        <w:rPr>
          <w:rFonts w:hint="default" w:ascii="仿宋" w:hAnsi="仿宋" w:eastAsia="仿宋" w:cs="仿宋"/>
          <w:sz w:val="32"/>
          <w:szCs w:val="32"/>
          <w:highlight w:val="none"/>
          <w:lang w:val="en-US" w:eastAsia="zh-CN"/>
        </w:rPr>
        <w:t>2020年自行申报的企业所得税纳税调整后所得额为-7,838,027.55元，调整后应纳税所得额为907,678.6</w:t>
      </w:r>
      <w:r>
        <w:rPr>
          <w:rFonts w:hint="eastAsia" w:ascii="仿宋" w:hAnsi="仿宋" w:eastAsia="仿宋" w:cs="仿宋"/>
          <w:sz w:val="32"/>
          <w:szCs w:val="32"/>
          <w:highlight w:val="none"/>
          <w:lang w:val="en-US" w:eastAsia="zh-CN"/>
        </w:rPr>
        <w:t>0</w:t>
      </w:r>
      <w:r>
        <w:rPr>
          <w:rFonts w:hint="default" w:ascii="仿宋" w:hAnsi="仿宋" w:eastAsia="仿宋" w:cs="仿宋"/>
          <w:sz w:val="32"/>
          <w:szCs w:val="32"/>
          <w:highlight w:val="none"/>
          <w:lang w:val="en-US" w:eastAsia="zh-CN"/>
        </w:rPr>
        <w:t>元。</w:t>
      </w:r>
    </w:p>
    <w:p w14:paraId="50DF966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2021年应调增企业所得税额3</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724</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099.57元，</w:t>
      </w:r>
      <w:r>
        <w:rPr>
          <w:rFonts w:hint="eastAsia" w:ascii="仿宋" w:hAnsi="仿宋" w:eastAsia="仿宋" w:cs="仿宋"/>
          <w:sz w:val="32"/>
          <w:szCs w:val="32"/>
          <w:highlight w:val="none"/>
          <w:lang w:val="en-US" w:eastAsia="zh-CN"/>
        </w:rPr>
        <w:t>你单位</w:t>
      </w:r>
      <w:r>
        <w:rPr>
          <w:rFonts w:hint="default" w:ascii="仿宋" w:hAnsi="仿宋" w:eastAsia="仿宋" w:cs="仿宋"/>
          <w:sz w:val="32"/>
          <w:szCs w:val="32"/>
          <w:highlight w:val="none"/>
          <w:lang w:val="en-US" w:eastAsia="zh-CN"/>
        </w:rPr>
        <w:t>自行申报纳税调整后所得额-2,944,080.58元，调整后应纳税所得额为780</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018.99元。</w:t>
      </w:r>
    </w:p>
    <w:p w14:paraId="14A9D5D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default" w:ascii="仿宋" w:hAnsi="仿宋" w:eastAsia="仿宋" w:cs="仿宋"/>
          <w:sz w:val="32"/>
          <w:szCs w:val="32"/>
          <w:highlight w:val="none"/>
          <w:lang w:val="en-US" w:eastAsia="zh-CN"/>
        </w:rPr>
        <w:t>根据《财政部 税务总局关于实施小微企业普惠性税收减免政策的通知》（财税〔2019〕13号）第二条“对小型微利企业年应纳税所得额不超过100万元的部分，减按25%计入应纳税所得额，按20%的税率缴纳企业所得税；对年应纳税所得额超过100万元但不超过300万元的部分，减按50%计入应纳税所得额，按20%的税率缴纳企业所得税。”、《财政部 税务总局关于实施小微企业和个体工商户所得税优惠政策的公告》（财政部 税务总局公告2021年第12号）第一条“对小型微利企业年应纳税所得额不超过100万元的部分，在《财政部 税务总局关于实施小微企业普惠性税收减免政策的通知》</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财税〔2019〕13号</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第二条规定的优惠政策基础上，再减半征收企业所得税。”之规定，</w:t>
      </w:r>
      <w:r>
        <w:rPr>
          <w:rFonts w:hint="eastAsia" w:ascii="仿宋" w:hAnsi="仿宋" w:eastAsia="仿宋" w:cs="仿宋"/>
          <w:sz w:val="32"/>
          <w:szCs w:val="32"/>
          <w:highlight w:val="none"/>
          <w:lang w:val="en-US" w:eastAsia="zh-CN"/>
        </w:rPr>
        <w:t>你单位2020年、2021年均属于小型微利企业，适用小微企业普惠性税收减免政策。你单位</w:t>
      </w:r>
      <w:r>
        <w:rPr>
          <w:rFonts w:hint="default" w:ascii="仿宋" w:hAnsi="仿宋" w:eastAsia="仿宋" w:cs="仿宋"/>
          <w:sz w:val="32"/>
          <w:szCs w:val="32"/>
          <w:highlight w:val="none"/>
          <w:lang w:val="en-US" w:eastAsia="zh-CN"/>
        </w:rPr>
        <w:t>2020年</w:t>
      </w:r>
      <w:r>
        <w:rPr>
          <w:rFonts w:hint="eastAsia" w:ascii="仿宋" w:hAnsi="仿宋" w:eastAsia="仿宋" w:cs="仿宋"/>
          <w:sz w:val="32"/>
          <w:szCs w:val="32"/>
          <w:highlight w:val="none"/>
          <w:lang w:val="en-US" w:eastAsia="zh-CN"/>
        </w:rPr>
        <w:t>至2021年共计</w:t>
      </w:r>
      <w:r>
        <w:rPr>
          <w:rFonts w:hint="default" w:ascii="仿宋" w:hAnsi="仿宋" w:eastAsia="仿宋" w:cs="仿宋"/>
          <w:sz w:val="32"/>
          <w:szCs w:val="32"/>
          <w:highlight w:val="none"/>
          <w:lang w:val="en-US" w:eastAsia="zh-CN"/>
        </w:rPr>
        <w:t>应补缴企业所得税</w:t>
      </w:r>
      <w:r>
        <w:rPr>
          <w:rFonts w:hint="eastAsia" w:ascii="仿宋" w:hAnsi="仿宋" w:eastAsia="仿宋" w:cs="仿宋"/>
          <w:sz w:val="32"/>
          <w:szCs w:val="32"/>
          <w:highlight w:val="none"/>
          <w:lang w:val="en-US" w:eastAsia="zh-CN"/>
        </w:rPr>
        <w:t>64,884.41元</w:t>
      </w:r>
      <w:r>
        <w:rPr>
          <w:rFonts w:hint="default" w:ascii="仿宋" w:hAnsi="仿宋" w:eastAsia="仿宋" w:cs="仿宋"/>
          <w:sz w:val="32"/>
          <w:szCs w:val="32"/>
          <w:highlight w:val="none"/>
          <w:lang w:val="en-US" w:eastAsia="zh-CN"/>
        </w:rPr>
        <w:t>。</w:t>
      </w:r>
    </w:p>
    <w:p w14:paraId="7F28191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二、处理决定及依据</w:t>
      </w:r>
    </w:p>
    <w:p w14:paraId="22560FA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sz w:val="32"/>
          <w:highlight w:val="none"/>
          <w:lang w:val="en-US" w:eastAsia="zh-CN"/>
        </w:rPr>
      </w:pPr>
      <w:r>
        <w:rPr>
          <w:rFonts w:hint="eastAsia" w:ascii="仿宋_GB2312" w:eastAsia="仿宋_GB2312" w:cs="Times New Roman"/>
          <w:color w:val="auto"/>
          <w:sz w:val="32"/>
          <w:highlight w:val="none"/>
          <w:lang w:val="en-US" w:eastAsia="zh-CN"/>
        </w:rPr>
        <w:t>（一）根据《中华人民共和国税收征收管理法》第三十二条“纳税人未按照规定期限缴纳税款的，扣缴义务人未按照规定期限解缴税款的，税务机关除责令限期缴纳外，从滞纳税款之日起，按日加收滞纳税款万分之五的滞纳金。”、第五十二条“因税务机关的责任，致使纳税人、扣缴义务人未缴或者少缴税款的，税务机关在三年内可以要求纳税人、扣缴义务人补缴税款，但是不得加收滞纳金。因纳税人、扣缴义务人计算错误等失误，未缴或者少缴税款的，税务机关在三年内可以追征税款、滞纳金；有特殊情况的，追征期可以延长到五年。对偷税、抗税、骗税的，税务机关追征其未缴或者少缴的税款、滞纳金或者所骗取的税款，不受前款规定期限的限制。”、</w:t>
      </w:r>
      <w:r>
        <w:rPr>
          <w:rFonts w:hint="eastAsia" w:ascii="仿宋" w:hAnsi="仿宋" w:eastAsia="仿宋" w:cs="仿宋"/>
          <w:color w:val="auto"/>
          <w:sz w:val="32"/>
          <w:szCs w:val="32"/>
          <w:highlight w:val="none"/>
          <w:lang w:val="en-US" w:eastAsia="zh-CN"/>
        </w:rPr>
        <w:t>第六十三条第一款“纳税人伪造、变造、隐匿、擅自销毁账簿、记账凭证，或者在账簿上多列支出或者不列、少列收入，或者经税务机关通知申报而拒不申报或者进行虚假的纳税申报，不缴或者少缴应纳税款的，是偷税。对纳税人偷税的，由税务机关追缴其不缴或者少缴的税款、滞纳金，并处不缴或者少缴的税款百分之五十以上五倍以下的罚款；构成犯罪的，依法追究刑事责任。”、</w:t>
      </w:r>
      <w:r>
        <w:rPr>
          <w:rFonts w:hint="eastAsia" w:ascii="仿宋_GB2312" w:eastAsia="仿宋_GB2312" w:cs="Times New Roman"/>
          <w:color w:val="auto"/>
          <w:sz w:val="32"/>
          <w:highlight w:val="none"/>
          <w:lang w:val="en-US" w:eastAsia="zh-CN"/>
        </w:rPr>
        <w:t>《中华人民共和国税收征收管理法实施细则》（国务院令第362号）第七十五条“税收征管法第三十二条规定的加收滞纳金的起止时间，为法律、行政法规规定或者税务机关依照法律、行政法规的规定确定的税款缴纳期限届满次日起至纳税人、扣缴义务人实际缴纳或者解缴税款之日止”之规定，我局决定追缴你单位少缴的增值税</w:t>
      </w:r>
      <w:r>
        <w:rPr>
          <w:rFonts w:hint="eastAsia" w:ascii="仿宋" w:hAnsi="仿宋" w:eastAsia="仿宋" w:cs="仿宋"/>
          <w:sz w:val="32"/>
          <w:szCs w:val="32"/>
          <w:highlight w:val="none"/>
          <w:lang w:val="en-US" w:eastAsia="zh-CN"/>
        </w:rPr>
        <w:t>696,485.49</w:t>
      </w:r>
      <w:r>
        <w:rPr>
          <w:rFonts w:hint="eastAsia" w:ascii="仿宋_GB2312" w:eastAsia="仿宋_GB2312" w:cs="Times New Roman"/>
          <w:color w:val="auto"/>
          <w:sz w:val="32"/>
          <w:highlight w:val="none"/>
          <w:lang w:val="en-US" w:eastAsia="zh-CN"/>
        </w:rPr>
        <w:t>元、城市维护建设税</w:t>
      </w:r>
      <w:r>
        <w:rPr>
          <w:rFonts w:hint="eastAsia" w:ascii="仿宋" w:hAnsi="仿宋" w:eastAsia="仿宋" w:cs="仿宋"/>
          <w:color w:val="auto"/>
          <w:sz w:val="32"/>
          <w:szCs w:val="32"/>
          <w:highlight w:val="none"/>
          <w:lang w:val="en-US" w:eastAsia="zh-CN"/>
        </w:rPr>
        <w:t>50,019.66</w:t>
      </w:r>
      <w:r>
        <w:rPr>
          <w:rFonts w:hint="eastAsia" w:ascii="仿宋_GB2312" w:eastAsia="仿宋_GB2312" w:cs="Times New Roman"/>
          <w:color w:val="auto"/>
          <w:sz w:val="32"/>
          <w:highlight w:val="none"/>
          <w:lang w:val="en-US" w:eastAsia="zh-CN"/>
        </w:rPr>
        <w:t>元、印花税</w:t>
      </w:r>
      <w:r>
        <w:rPr>
          <w:rFonts w:hint="eastAsia" w:ascii="仿宋_GB2312" w:hAnsi="仿宋_GB2312" w:eastAsia="仿宋_GB2312" w:cs="仿宋_GB2312"/>
          <w:color w:val="auto"/>
          <w:sz w:val="32"/>
          <w:szCs w:val="32"/>
          <w:highlight w:val="none"/>
          <w:lang w:val="en-US" w:eastAsia="zh-CN"/>
        </w:rPr>
        <w:t>312.70</w:t>
      </w:r>
      <w:r>
        <w:rPr>
          <w:rFonts w:hint="eastAsia" w:ascii="仿宋_GB2312" w:eastAsia="仿宋_GB2312" w:cs="Times New Roman"/>
          <w:color w:val="auto"/>
          <w:sz w:val="32"/>
          <w:highlight w:val="none"/>
          <w:lang w:val="en-US" w:eastAsia="zh-CN"/>
        </w:rPr>
        <w:t>元、企业所得税</w:t>
      </w:r>
      <w:r>
        <w:rPr>
          <w:rFonts w:hint="eastAsia" w:ascii="仿宋" w:hAnsi="仿宋" w:eastAsia="仿宋" w:cs="仿宋"/>
          <w:sz w:val="32"/>
          <w:szCs w:val="32"/>
          <w:highlight w:val="none"/>
          <w:lang w:val="en-US" w:eastAsia="zh-CN"/>
        </w:rPr>
        <w:t>64,884.41</w:t>
      </w:r>
      <w:r>
        <w:rPr>
          <w:rFonts w:hint="eastAsia" w:ascii="仿宋_GB2312" w:eastAsia="仿宋_GB2312" w:cs="Times New Roman"/>
          <w:color w:val="auto"/>
          <w:sz w:val="32"/>
          <w:highlight w:val="none"/>
          <w:lang w:val="en-US" w:eastAsia="zh-CN"/>
        </w:rPr>
        <w:t>元。你单位以增值税留抵退税方式取得的</w:t>
      </w:r>
      <w:r>
        <w:rPr>
          <w:rFonts w:hint="eastAsia" w:ascii="仿宋" w:hAnsi="仿宋" w:eastAsia="仿宋" w:cs="仿宋"/>
          <w:sz w:val="32"/>
          <w:szCs w:val="32"/>
          <w:highlight w:val="none"/>
          <w:lang w:val="en-US" w:eastAsia="zh-CN"/>
        </w:rPr>
        <w:t>411,336.97元由贵州省镇宁布依族苗族自治县人民法院追缴，因你单位为非正常状态，税款无法返还国家税务总局镇宁布依族苗族自治县税务局，现通过本次稽查查补方式返还。现责令你单位缴纳少缴的增值税、城市维护建设税、印花税、企业所得税，</w:t>
      </w:r>
      <w:r>
        <w:rPr>
          <w:rFonts w:hint="eastAsia" w:ascii="仿宋_GB2312" w:eastAsia="仿宋_GB2312"/>
          <w:sz w:val="32"/>
          <w:szCs w:val="32"/>
          <w:highlight w:val="none"/>
          <w:lang w:val="en-US" w:eastAsia="zh-CN"/>
        </w:rPr>
        <w:t>并对少缴的增值税、城市维护建设税、印花税、企业所得税从滞纳之日起至实际缴纳之日止，按日加收万分之五的滞纳金。</w:t>
      </w:r>
    </w:p>
    <w:p w14:paraId="0264D31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r>
        <w:rPr>
          <w:rFonts w:hint="eastAsia" w:ascii="仿宋_GB2312" w:eastAsia="仿宋_GB2312"/>
          <w:sz w:val="32"/>
          <w:szCs w:val="32"/>
          <w:highlight w:val="none"/>
          <w:lang w:val="en-US" w:eastAsia="zh-CN"/>
        </w:rPr>
        <w:t>（二）根据《贵州省教育经费筹措管理办法》第九条“教育费附加和地方教育附加应当在缴纳增值税和消费税时一并缴纳”、第十四条“违反本法第九条规定的，由税务机关责令其限期缴纳，并按日加收万分之五的滞纳金；逾期仍不补缴的，对单位处以1000元以上3万元以下罚款，对个人处以100元以上1000元以下的罚款”之规定，现责令你单位缴纳少缴的教育费附加</w:t>
      </w:r>
      <w:r>
        <w:rPr>
          <w:rFonts w:hint="eastAsia" w:ascii="仿宋" w:hAnsi="仿宋" w:eastAsia="仿宋" w:cs="仿宋"/>
          <w:sz w:val="32"/>
          <w:szCs w:val="32"/>
          <w:highlight w:val="none"/>
          <w:lang w:val="en-US" w:eastAsia="zh-CN"/>
        </w:rPr>
        <w:t>30,011.79元、地方教育附加20,007.86元</w:t>
      </w:r>
      <w:r>
        <w:rPr>
          <w:rFonts w:hint="eastAsia" w:ascii="仿宋_GB2312" w:eastAsia="仿宋_GB2312"/>
          <w:sz w:val="32"/>
          <w:szCs w:val="32"/>
          <w:highlight w:val="none"/>
          <w:lang w:val="en-US" w:eastAsia="zh-CN"/>
        </w:rPr>
        <w:t>，并对少缴的教育费附加、地方教育附加从滞纳之日起至实际缴纳之日止，按日加收万分之五的滞纳金。</w:t>
      </w:r>
    </w:p>
    <w:p w14:paraId="34B8BA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限你单位自收到本决定书之日起15日内到国家税务总局镇宁布依族苗族自治县税务局将上述税款及滞纳金缴纳入库，并按照规定进行相关账务调整。</w:t>
      </w:r>
    </w:p>
    <w:p w14:paraId="0972FD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逾期未缴清的，将依照《中华人民共和国税收征收管理法》第四十条规定强制执行。</w:t>
      </w:r>
    </w:p>
    <w:p w14:paraId="1D5CEF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你单位若同我局在纳税上有争议，必须先依照本决定的期限缴纳税款及滞纳金或者提供相应的担保，然后可自上述款项缴清或者提供相应担保被税务机关确认之日起六十日内依法向国家税务总局贵州省税务局申请行政复议。   </w:t>
      </w:r>
    </w:p>
    <w:p w14:paraId="6599BF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14:paraId="1137E7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14:paraId="02E676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bookmarkStart w:id="1" w:name="_GoBack"/>
      <w:bookmarkEnd w:id="1"/>
    </w:p>
    <w:p w14:paraId="580C45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14:paraId="27784A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二○二六年一月十六日</w:t>
      </w:r>
    </w:p>
    <w:p w14:paraId="1B8435E4">
      <w:pPr>
        <w:pStyle w:val="2"/>
        <w:ind w:left="0" w:leftChars="0" w:firstLine="0" w:firstLineChars="0"/>
        <w:rPr>
          <w:rFonts w:hint="eastAsia" w:ascii="楷体_GB2312" w:hAnsi="楷体_GB2312" w:eastAsia="楷体_GB2312" w:cs="楷体_GB2312"/>
          <w:sz w:val="28"/>
          <w:szCs w:val="36"/>
          <w:lang w:val="en-US" w:eastAsia="zh-CN"/>
        </w:rPr>
      </w:pPr>
      <w:r>
        <w:rPr>
          <w:rFonts w:hint="eastAsia" w:ascii="楷体_GB2312" w:hAnsi="楷体_GB2312" w:eastAsia="楷体_GB2312" w:cs="楷体_GB2312"/>
          <w:sz w:val="28"/>
          <w:szCs w:val="36"/>
          <w:lang w:val="en-US" w:eastAsia="zh-CN"/>
        </w:rPr>
        <w:t xml:space="preserve"> </w:t>
      </w:r>
    </w:p>
    <w:p w14:paraId="21A426E5">
      <w:pPr>
        <w:pStyle w:val="2"/>
        <w:ind w:left="0" w:leftChars="0" w:firstLine="0" w:firstLineChars="0"/>
        <w:rPr>
          <w:rFonts w:hint="eastAsia" w:ascii="楷体_GB2312" w:hAnsi="楷体_GB2312" w:eastAsia="楷体_GB2312" w:cs="楷体_GB2312"/>
          <w:sz w:val="28"/>
          <w:szCs w:val="36"/>
          <w:lang w:val="en-US" w:eastAsia="zh-CN"/>
        </w:rPr>
      </w:pPr>
    </w:p>
    <w:p w14:paraId="22A8996A">
      <w:pPr>
        <w:pStyle w:val="2"/>
        <w:ind w:left="0" w:leftChars="0" w:firstLine="0" w:firstLineChars="0"/>
        <w:rPr>
          <w:rFonts w:hint="eastAsia" w:ascii="楷体_GB2312" w:hAnsi="楷体_GB2312" w:eastAsia="楷体_GB2312" w:cs="楷体_GB2312"/>
          <w:sz w:val="28"/>
          <w:szCs w:val="36"/>
          <w:lang w:val="en-US" w:eastAsia="zh-CN"/>
        </w:rPr>
      </w:pPr>
    </w:p>
    <w:p w14:paraId="7B80EB0A">
      <w:pPr>
        <w:pStyle w:val="2"/>
        <w:ind w:left="0" w:leftChars="0" w:firstLine="0" w:firstLineChars="0"/>
        <w:rPr>
          <w:rFonts w:hint="eastAsia" w:ascii="楷体_GB2312" w:hAnsi="楷体_GB2312" w:eastAsia="楷体_GB2312" w:cs="楷体_GB2312"/>
          <w:sz w:val="28"/>
          <w:szCs w:val="36"/>
          <w:lang w:val="en-US" w:eastAsia="zh-CN"/>
        </w:rPr>
      </w:pPr>
    </w:p>
    <w:p w14:paraId="45045B9B">
      <w:pPr>
        <w:pStyle w:val="2"/>
        <w:ind w:left="0" w:leftChars="0" w:firstLine="0" w:firstLineChars="0"/>
        <w:rPr>
          <w:rFonts w:hint="eastAsia" w:ascii="楷体_GB2312" w:hAnsi="楷体_GB2312" w:eastAsia="楷体_GB2312" w:cs="楷体_GB2312"/>
          <w:sz w:val="28"/>
          <w:szCs w:val="36"/>
          <w:lang w:val="en-US" w:eastAsia="zh-CN"/>
        </w:rPr>
      </w:pPr>
    </w:p>
    <w:p w14:paraId="4B06144C">
      <w:pPr>
        <w:pStyle w:val="2"/>
        <w:ind w:left="0" w:leftChars="0" w:firstLine="0" w:firstLineChars="0"/>
        <w:rPr>
          <w:rFonts w:hint="eastAsia" w:ascii="楷体_GB2312" w:hAnsi="楷体_GB2312" w:eastAsia="楷体_GB2312" w:cs="楷体_GB2312"/>
          <w:sz w:val="28"/>
          <w:szCs w:val="36"/>
          <w:lang w:val="en-US" w:eastAsia="zh-CN"/>
        </w:rPr>
      </w:pPr>
    </w:p>
    <w:p w14:paraId="32C85078">
      <w:pPr>
        <w:pStyle w:val="2"/>
        <w:ind w:left="0" w:leftChars="0" w:firstLine="0" w:firstLineChars="0"/>
        <w:rPr>
          <w:rFonts w:hint="eastAsia" w:ascii="楷体_GB2312" w:hAnsi="楷体_GB2312" w:eastAsia="楷体_GB2312" w:cs="楷体_GB2312"/>
          <w:sz w:val="28"/>
          <w:szCs w:val="36"/>
          <w:lang w:val="en-US" w:eastAsia="zh-CN"/>
        </w:rPr>
      </w:pPr>
    </w:p>
    <w:p w14:paraId="598C7CAB">
      <w:pPr>
        <w:pStyle w:val="2"/>
        <w:ind w:left="0" w:leftChars="0" w:firstLine="0" w:firstLineChars="0"/>
        <w:rPr>
          <w:rFonts w:hint="eastAsia" w:ascii="楷体_GB2312" w:hAnsi="楷体_GB2312" w:eastAsia="楷体_GB2312" w:cs="楷体_GB2312"/>
          <w:sz w:val="28"/>
          <w:szCs w:val="36"/>
          <w:lang w:val="en-US" w:eastAsia="zh-CN"/>
        </w:rPr>
      </w:pPr>
    </w:p>
    <w:p w14:paraId="10F77F3B">
      <w:pPr>
        <w:pStyle w:val="2"/>
        <w:ind w:left="0" w:leftChars="0" w:firstLine="0" w:firstLineChars="0"/>
        <w:rPr>
          <w:rFonts w:hint="eastAsia" w:ascii="楷体_GB2312" w:hAnsi="楷体_GB2312" w:eastAsia="楷体_GB2312" w:cs="楷体_GB2312"/>
          <w:sz w:val="28"/>
          <w:szCs w:val="36"/>
          <w:lang w:val="en-US" w:eastAsia="zh-CN"/>
        </w:rPr>
      </w:pPr>
    </w:p>
    <w:p w14:paraId="3842B5A9">
      <w:pPr>
        <w:pStyle w:val="2"/>
        <w:ind w:left="0" w:leftChars="0" w:firstLine="0" w:firstLineChars="0"/>
        <w:rPr>
          <w:rFonts w:hint="eastAsia" w:ascii="楷体_GB2312" w:hAnsi="楷体_GB2312" w:eastAsia="楷体_GB2312" w:cs="楷体_GB2312"/>
          <w:sz w:val="28"/>
          <w:szCs w:val="36"/>
          <w:lang w:val="en-US" w:eastAsia="zh-CN"/>
        </w:rPr>
      </w:pPr>
    </w:p>
    <w:p w14:paraId="409E4B0F">
      <w:pPr>
        <w:pStyle w:val="2"/>
        <w:ind w:left="0" w:leftChars="0" w:firstLine="0" w:firstLineChars="0"/>
        <w:rPr>
          <w:rFonts w:hint="eastAsia" w:ascii="楷体_GB2312" w:hAnsi="楷体_GB2312" w:eastAsia="楷体_GB2312" w:cs="楷体_GB2312"/>
          <w:sz w:val="28"/>
          <w:szCs w:val="36"/>
          <w:lang w:val="en-US" w:eastAsia="zh-CN"/>
        </w:rPr>
      </w:pPr>
    </w:p>
    <w:p w14:paraId="0E3D20E8">
      <w:pPr>
        <w:pStyle w:val="2"/>
        <w:ind w:left="0" w:leftChars="0" w:firstLine="0" w:firstLineChars="0"/>
        <w:rPr>
          <w:rFonts w:hint="eastAsia" w:ascii="楷体_GB2312" w:hAnsi="楷体_GB2312" w:eastAsia="楷体_GB2312" w:cs="楷体_GB2312"/>
          <w:sz w:val="28"/>
          <w:szCs w:val="36"/>
          <w:lang w:val="en-US" w:eastAsia="zh-CN"/>
        </w:rPr>
      </w:pPr>
    </w:p>
    <w:p w14:paraId="44F482EF">
      <w:pPr>
        <w:pStyle w:val="2"/>
        <w:ind w:left="0" w:leftChars="0" w:firstLine="0" w:firstLineChars="0"/>
        <w:rPr>
          <w:rFonts w:hint="eastAsia" w:ascii="楷体_GB2312" w:hAnsi="楷体_GB2312" w:eastAsia="楷体_GB2312" w:cs="楷体_GB2312"/>
          <w:sz w:val="28"/>
          <w:szCs w:val="36"/>
          <w:lang w:val="en-US" w:eastAsia="zh-CN"/>
        </w:rPr>
      </w:pPr>
    </w:p>
    <w:p w14:paraId="3983497F">
      <w:pPr>
        <w:pStyle w:val="2"/>
        <w:ind w:left="0" w:leftChars="0" w:firstLine="0" w:firstLineChars="0"/>
        <w:rPr>
          <w:rFonts w:hint="eastAsia" w:ascii="仿宋_GB2312" w:eastAsia="仿宋_GB2312"/>
          <w:color w:val="000000"/>
          <w:sz w:val="32"/>
        </w:rPr>
      </w:pPr>
      <w:r>
        <w:rPr>
          <w:rFonts w:hint="eastAsia" w:ascii="楷体_GB2312" w:hAnsi="楷体_GB2312" w:eastAsia="楷体_GB2312" w:cs="楷体_GB2312"/>
          <w:sz w:val="28"/>
          <w:szCs w:val="36"/>
          <w:lang w:val="en-US" w:eastAsia="zh-CN"/>
        </w:rPr>
        <w:t xml:space="preserve">       </w:t>
      </w:r>
      <w:r>
        <w:rPr>
          <w:rFonts w:hint="eastAsia" w:ascii="楷体_GB2312" w:hAnsi="楷体_GB2312" w:eastAsia="楷体_GB2312" w:cs="楷体_GB2312"/>
          <w:sz w:val="28"/>
          <w:szCs w:val="36"/>
          <w:lang w:val="en-US" w:eastAsia="zh-CN"/>
        </w:rPr>
        <w:drawing>
          <wp:inline distT="0" distB="0" distL="114300" distR="114300">
            <wp:extent cx="4238625" cy="1314450"/>
            <wp:effectExtent l="0" t="0" r="9525" b="0"/>
            <wp:docPr id="3" name="图片 3" descr="WXWorklocal_17255226634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XWorklocal_17255226634465"/>
                    <pic:cNvPicPr>
                      <a:picLocks noChangeAspect="1"/>
                    </pic:cNvPicPr>
                  </pic:nvPicPr>
                  <pic:blipFill>
                    <a:blip r:embed="rId5"/>
                    <a:stretch>
                      <a:fillRect/>
                    </a:stretch>
                  </pic:blipFill>
                  <pic:spPr>
                    <a:xfrm>
                      <a:off x="0" y="0"/>
                      <a:ext cx="4238625" cy="1314450"/>
                    </a:xfrm>
                    <a:prstGeom prst="rect">
                      <a:avLst/>
                    </a:prstGeom>
                  </pic:spPr>
                </pic:pic>
              </a:graphicData>
            </a:graphic>
          </wp:inline>
        </w:drawing>
      </w:r>
    </w:p>
    <w:sectPr>
      <w:footerReference r:id="rId3" w:type="default"/>
      <w:pgSz w:w="11906" w:h="16838"/>
      <w:pgMar w:top="1440" w:right="1803" w:bottom="1440" w:left="1803" w:header="851" w:footer="992"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E627E">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8FE9B0B">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14:paraId="28FE9B0B">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D8A27BD">
                          <w:pPr>
                            <w:pStyle w:val="5"/>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slDbw0QEAAKIDAAAOAAAAAAAAAAEAIAAAAB8BAABk&#10;cnMvZTJvRG9jLnhtbFBLBQYAAAAABgAGAFkBAABiBQAAAAA=&#10;">
              <v:fill on="f" focussize="0,0"/>
              <v:stroke on="f" weight="0.5pt"/>
              <v:imagedata o:title=""/>
              <o:lock v:ext="edit" aspectratio="f"/>
              <v:textbox inset="0mm,0mm,0mm,0mm" style="mso-fit-shape-to-text:t;">
                <w:txbxContent>
                  <w:p w14:paraId="1D8A27BD">
                    <w:pPr>
                      <w:pStyle w:val="5"/>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D6EBF8"/>
    <w:multiLevelType w:val="singleLevel"/>
    <w:tmpl w:val="FFD6EBF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54F1D"/>
    <w:rsid w:val="027A0B71"/>
    <w:rsid w:val="02DD5F4B"/>
    <w:rsid w:val="02F76F90"/>
    <w:rsid w:val="03373539"/>
    <w:rsid w:val="03CD7F32"/>
    <w:rsid w:val="04B16C3E"/>
    <w:rsid w:val="04EE6295"/>
    <w:rsid w:val="05781C57"/>
    <w:rsid w:val="06856661"/>
    <w:rsid w:val="06C278B5"/>
    <w:rsid w:val="07842A97"/>
    <w:rsid w:val="07A56605"/>
    <w:rsid w:val="07C41E72"/>
    <w:rsid w:val="08585A2F"/>
    <w:rsid w:val="08C53FB8"/>
    <w:rsid w:val="08E0799A"/>
    <w:rsid w:val="094C7389"/>
    <w:rsid w:val="0A4B638E"/>
    <w:rsid w:val="0AD922B9"/>
    <w:rsid w:val="0B1D22EC"/>
    <w:rsid w:val="0D1246F9"/>
    <w:rsid w:val="0D5A4770"/>
    <w:rsid w:val="0DAD0977"/>
    <w:rsid w:val="0E883192"/>
    <w:rsid w:val="0EA40693"/>
    <w:rsid w:val="10AF0EAA"/>
    <w:rsid w:val="1151556C"/>
    <w:rsid w:val="11D120C7"/>
    <w:rsid w:val="11E92F4F"/>
    <w:rsid w:val="145B0B84"/>
    <w:rsid w:val="152079E6"/>
    <w:rsid w:val="156161BD"/>
    <w:rsid w:val="157501D4"/>
    <w:rsid w:val="157E51B8"/>
    <w:rsid w:val="16A242BD"/>
    <w:rsid w:val="16B02D9E"/>
    <w:rsid w:val="180E295A"/>
    <w:rsid w:val="18333901"/>
    <w:rsid w:val="183C53D0"/>
    <w:rsid w:val="196C4FCD"/>
    <w:rsid w:val="1A025340"/>
    <w:rsid w:val="1A495343"/>
    <w:rsid w:val="1AA86B93"/>
    <w:rsid w:val="1ACF7070"/>
    <w:rsid w:val="1AE4136D"/>
    <w:rsid w:val="1BA0250A"/>
    <w:rsid w:val="1C0F175D"/>
    <w:rsid w:val="1CE944B3"/>
    <w:rsid w:val="1DA945C1"/>
    <w:rsid w:val="1DEA305E"/>
    <w:rsid w:val="1E322FBC"/>
    <w:rsid w:val="1E4075E6"/>
    <w:rsid w:val="1F1A02B1"/>
    <w:rsid w:val="1F9F033C"/>
    <w:rsid w:val="208E1245"/>
    <w:rsid w:val="20AC0FC4"/>
    <w:rsid w:val="2277670D"/>
    <w:rsid w:val="23B94756"/>
    <w:rsid w:val="247E3CB6"/>
    <w:rsid w:val="24B9333C"/>
    <w:rsid w:val="25424943"/>
    <w:rsid w:val="25575F9E"/>
    <w:rsid w:val="25EA291B"/>
    <w:rsid w:val="267D5A43"/>
    <w:rsid w:val="26E02986"/>
    <w:rsid w:val="27277346"/>
    <w:rsid w:val="273E6C18"/>
    <w:rsid w:val="27465FBD"/>
    <w:rsid w:val="28C82699"/>
    <w:rsid w:val="29230DEA"/>
    <w:rsid w:val="294E3A1D"/>
    <w:rsid w:val="2A8E614C"/>
    <w:rsid w:val="2BB4008B"/>
    <w:rsid w:val="2BF5552A"/>
    <w:rsid w:val="2C0B707F"/>
    <w:rsid w:val="2C803789"/>
    <w:rsid w:val="2E220C80"/>
    <w:rsid w:val="2E424835"/>
    <w:rsid w:val="2EA32CF1"/>
    <w:rsid w:val="2ED35401"/>
    <w:rsid w:val="30515CAE"/>
    <w:rsid w:val="327F69F4"/>
    <w:rsid w:val="32B218D3"/>
    <w:rsid w:val="330D3AE3"/>
    <w:rsid w:val="338E00C0"/>
    <w:rsid w:val="33E923ED"/>
    <w:rsid w:val="359F71D6"/>
    <w:rsid w:val="35AB75E3"/>
    <w:rsid w:val="35AF73EB"/>
    <w:rsid w:val="35BA1A89"/>
    <w:rsid w:val="36A475E4"/>
    <w:rsid w:val="36A740F2"/>
    <w:rsid w:val="36DA245B"/>
    <w:rsid w:val="38642B35"/>
    <w:rsid w:val="387343FF"/>
    <w:rsid w:val="39A670A0"/>
    <w:rsid w:val="3A4C3765"/>
    <w:rsid w:val="3A4E3FE1"/>
    <w:rsid w:val="3AA36D15"/>
    <w:rsid w:val="3AC37666"/>
    <w:rsid w:val="3ADD1523"/>
    <w:rsid w:val="3B2B3F6C"/>
    <w:rsid w:val="3B396BCD"/>
    <w:rsid w:val="3B926E5C"/>
    <w:rsid w:val="3BD247B5"/>
    <w:rsid w:val="3C52262E"/>
    <w:rsid w:val="3CC9420F"/>
    <w:rsid w:val="3D566086"/>
    <w:rsid w:val="3D694900"/>
    <w:rsid w:val="3D736BC7"/>
    <w:rsid w:val="3EA05051"/>
    <w:rsid w:val="3F127A08"/>
    <w:rsid w:val="3F656A54"/>
    <w:rsid w:val="3F9E0AD2"/>
    <w:rsid w:val="40B055CA"/>
    <w:rsid w:val="41861A00"/>
    <w:rsid w:val="41C8041A"/>
    <w:rsid w:val="4205009A"/>
    <w:rsid w:val="422C5052"/>
    <w:rsid w:val="42585A95"/>
    <w:rsid w:val="427F300E"/>
    <w:rsid w:val="42D06E24"/>
    <w:rsid w:val="42DD25CB"/>
    <w:rsid w:val="44122DF0"/>
    <w:rsid w:val="44210840"/>
    <w:rsid w:val="453F42A6"/>
    <w:rsid w:val="453F587F"/>
    <w:rsid w:val="45865A20"/>
    <w:rsid w:val="459A14F1"/>
    <w:rsid w:val="464E04AD"/>
    <w:rsid w:val="4678564A"/>
    <w:rsid w:val="46927ED0"/>
    <w:rsid w:val="470E2E0E"/>
    <w:rsid w:val="471306AA"/>
    <w:rsid w:val="4736435C"/>
    <w:rsid w:val="48153C2C"/>
    <w:rsid w:val="483D4B2F"/>
    <w:rsid w:val="499E4D67"/>
    <w:rsid w:val="49E142F4"/>
    <w:rsid w:val="4A715AB9"/>
    <w:rsid w:val="4B6E53DF"/>
    <w:rsid w:val="4BF729FC"/>
    <w:rsid w:val="4D1F4216"/>
    <w:rsid w:val="4DE65204"/>
    <w:rsid w:val="4E29606B"/>
    <w:rsid w:val="4E9A56CE"/>
    <w:rsid w:val="4F22091E"/>
    <w:rsid w:val="4F376F1C"/>
    <w:rsid w:val="4F552C65"/>
    <w:rsid w:val="501F4D9E"/>
    <w:rsid w:val="50C55803"/>
    <w:rsid w:val="50E806B0"/>
    <w:rsid w:val="51A80EF4"/>
    <w:rsid w:val="51AC58DC"/>
    <w:rsid w:val="51DE0900"/>
    <w:rsid w:val="51F14459"/>
    <w:rsid w:val="526E7C68"/>
    <w:rsid w:val="53021D2C"/>
    <w:rsid w:val="53CF4624"/>
    <w:rsid w:val="53D302EE"/>
    <w:rsid w:val="54D22A22"/>
    <w:rsid w:val="56973D3E"/>
    <w:rsid w:val="58830014"/>
    <w:rsid w:val="58C243D2"/>
    <w:rsid w:val="590D7129"/>
    <w:rsid w:val="59AA148A"/>
    <w:rsid w:val="5A862CEE"/>
    <w:rsid w:val="5B844CC4"/>
    <w:rsid w:val="5C7F3F80"/>
    <w:rsid w:val="5E277589"/>
    <w:rsid w:val="5E5C436B"/>
    <w:rsid w:val="5E7933CC"/>
    <w:rsid w:val="5E833D9D"/>
    <w:rsid w:val="5EF93D31"/>
    <w:rsid w:val="5F7A7B7B"/>
    <w:rsid w:val="60206A5B"/>
    <w:rsid w:val="6055483E"/>
    <w:rsid w:val="60600DE0"/>
    <w:rsid w:val="608E6F8D"/>
    <w:rsid w:val="61637C04"/>
    <w:rsid w:val="62C12406"/>
    <w:rsid w:val="63066A65"/>
    <w:rsid w:val="63527BD7"/>
    <w:rsid w:val="64E75692"/>
    <w:rsid w:val="64EF4547"/>
    <w:rsid w:val="662E2815"/>
    <w:rsid w:val="664E7AE0"/>
    <w:rsid w:val="66550CA5"/>
    <w:rsid w:val="66FA607C"/>
    <w:rsid w:val="687F0FF7"/>
    <w:rsid w:val="68C40741"/>
    <w:rsid w:val="6A325601"/>
    <w:rsid w:val="6AB568A5"/>
    <w:rsid w:val="6B872D5D"/>
    <w:rsid w:val="6CE30E35"/>
    <w:rsid w:val="6D2913D3"/>
    <w:rsid w:val="6D7E46BA"/>
    <w:rsid w:val="6E626054"/>
    <w:rsid w:val="6E7D5298"/>
    <w:rsid w:val="6E992EC5"/>
    <w:rsid w:val="70D643E1"/>
    <w:rsid w:val="71125845"/>
    <w:rsid w:val="718C1A9B"/>
    <w:rsid w:val="71EF7A64"/>
    <w:rsid w:val="722E69E6"/>
    <w:rsid w:val="726A088C"/>
    <w:rsid w:val="72DD00D4"/>
    <w:rsid w:val="75673C25"/>
    <w:rsid w:val="759662B4"/>
    <w:rsid w:val="76B517F9"/>
    <w:rsid w:val="77096C97"/>
    <w:rsid w:val="77694952"/>
    <w:rsid w:val="776C53E7"/>
    <w:rsid w:val="78FF0214"/>
    <w:rsid w:val="79295B8E"/>
    <w:rsid w:val="7992087C"/>
    <w:rsid w:val="79D3482A"/>
    <w:rsid w:val="7A1B208C"/>
    <w:rsid w:val="7AD73502"/>
    <w:rsid w:val="7AFD53E6"/>
    <w:rsid w:val="7BB4692B"/>
    <w:rsid w:val="7BFF3C27"/>
    <w:rsid w:val="7C023546"/>
    <w:rsid w:val="7C1A7CA3"/>
    <w:rsid w:val="7C1D72DE"/>
    <w:rsid w:val="7C937A2E"/>
    <w:rsid w:val="7D5B3D6F"/>
    <w:rsid w:val="7D5B6766"/>
    <w:rsid w:val="7DA73022"/>
    <w:rsid w:val="7E867872"/>
    <w:rsid w:val="7F62315D"/>
    <w:rsid w:val="7FC366DA"/>
    <w:rsid w:val="7FCB3020"/>
    <w:rsid w:val="7FD35F52"/>
    <w:rsid w:val="7FD91C23"/>
    <w:rsid w:val="7FFD7794"/>
    <w:rsid w:val="7FFEA0A0"/>
    <w:rsid w:val="7FFF6FE8"/>
    <w:rsid w:val="AB1EBC05"/>
    <w:rsid w:val="FBEE7F21"/>
    <w:rsid w:val="FED7BE0E"/>
    <w:rsid w:val="FFF7F240"/>
    <w:rsid w:val="FFFD2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jc w:val="center"/>
      <w:outlineLvl w:val="0"/>
    </w:pPr>
    <w:rPr>
      <w:rFonts w:eastAsia="华文中宋"/>
      <w:bCs/>
      <w:kern w:val="44"/>
      <w:sz w:val="72"/>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Plain Text"/>
    <w:basedOn w:val="1"/>
    <w:qFormat/>
    <w:uiPriority w:val="0"/>
    <w:rPr>
      <w:rFonts w:ascii="宋体" w:hAnsi="Courier New" w:eastAsia="宋体"/>
      <w:sz w:val="21"/>
      <w:szCs w:val="21"/>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customStyle="1" w:styleId="8">
    <w:name w:val="Normal Indent1"/>
    <w:basedOn w:val="1"/>
    <w:qFormat/>
    <w:uiPriority w:val="0"/>
    <w:pPr>
      <w:spacing w:line="660" w:lineRule="exact"/>
      <w:ind w:firstLine="720" w:firstLineChars="200"/>
    </w:pPr>
    <w:rPr>
      <w:rFonts w:ascii="Calibri" w:hAnsi="Calibri" w:eastAsia="楷体_GB2312" w:cs="Times New Roman"/>
      <w:sz w:val="36"/>
      <w:szCs w:val="36"/>
    </w:rPr>
  </w:style>
  <w:style w:type="paragraph" w:customStyle="1" w:styleId="9">
    <w:name w:val="bw1"/>
    <w:qFormat/>
    <w:uiPriority w:val="0"/>
    <w:pPr>
      <w:widowControl w:val="0"/>
      <w:adjustRightInd w:val="0"/>
      <w:spacing w:line="360" w:lineRule="atLeast"/>
    </w:pPr>
    <w:rPr>
      <w:rFonts w:hint="eastAsia"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e64e47cd-a3b3-47e1-b7b0-5ffd094619e1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78721FF1</paraID>
      <start>138</start>
      <end>141</end>
      <status>unmodified</status>
      <modifiedWord/>
      <trackRevisions>false</trackRevisions>
    </reviewItem>
    <reviewItem>
      <errorID>d47c3bd8-8456-4938-b8d3-b593c56b1feb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78721FF1</paraID>
      <start>152</start>
      <end>155</end>
      <status>unmodified</status>
      <modifiedWord/>
      <trackRevisions>false</trackRevisions>
    </reviewItem>
    <reviewItem>
      <errorID>c55f1497-65c5-424c-bcb9-274227220990</errorID>
      <errorWord>（</errorWord>
      <group>L1_Punc</group>
      <groupName>标点问题</groupName>
      <ability>L2_Punc</ability>
      <abilityName>标点符号检查</abilityName>
      <candidateList/>
      <explain>同一形式括号套用。</explain>
      <paraID>14976CEE</paraID>
      <start>125</start>
      <end>126</end>
      <status>unmodified</status>
      <modifiedWord/>
      <trackRevisions>false</trackRevisions>
    </reviewItem>
    <reviewItem>
      <errorID>8cfc1bf2-8cb4-4dbd-a214-c37c73483c3d</errorID>
      <errorWord>）</errorWord>
      <group>L1_Punc</group>
      <groupName>标点问题</groupName>
      <ability>L2_Punc</ability>
      <abilityName>标点符号检查</abilityName>
      <candidateList/>
      <explain>同一形式括号套用。</explain>
      <paraID>14976CEE</paraID>
      <start>130</start>
      <end>131</end>
      <status>unmodified</status>
      <modifiedWord/>
      <trackRevisions>false</trackRevisions>
    </reviewItem>
    <reviewItem>
      <errorID>f072578c-4248-42bc-987d-40da223e689b</errorID>
      <errorWord>（</errorWord>
      <group>L1_Punc</group>
      <groupName>标点问题</groupName>
      <ability>L2_Punc</ability>
      <abilityName>标点符号检查</abilityName>
      <candidateList/>
      <explain>同一形式括号套用。</explain>
      <paraID>14976CEE</paraID>
      <start>345</start>
      <end>346</end>
      <status>unmodified</status>
      <modifiedWord/>
      <trackRevisions>false</trackRevisions>
    </reviewItem>
    <reviewItem>
      <errorID>2e3bb790-3933-4825-a3ba-f868bb259cf3</errorID>
      <errorWord>）</errorWord>
      <group>L1_Punc</group>
      <groupName>标点问题</groupName>
      <ability>L2_Punc</ability>
      <abilityName>标点符号检查</abilityName>
      <candidateList/>
      <explain>同一形式括号套用。</explain>
      <paraID>14976CEE</paraID>
      <start>350</start>
      <end>351</end>
      <status>unmodified</status>
      <modifiedWord/>
      <trackRevisions>false</trackRevisions>
    </reviewItem>
    <reviewItem>
      <errorID>2d6582ac-a936-432a-816a-6f0ab0513a8c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59C5AB63</paraID>
      <start>99</start>
      <end>102</end>
      <status>unmodified</status>
      <modifiedWord/>
      <trackRevisions>false</trackRevisions>
    </reviewItem>
    <reviewItem>
      <errorID>1c197813-99c7-45e3-8856-c248f78ee0da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1FDB2FE2</paraID>
      <start>98</start>
      <end>101</end>
      <status>unmodified</status>
      <modifiedWord/>
      <trackRevisions>false</trackRevisions>
    </reviewItem>
    <reviewItem>
      <errorID>c9d58a52-4ffe-4c5c-bd43-5aa06920dc3f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1FDB2FE2</paraID>
      <start>189</start>
      <end>192</end>
      <status>unmodified</status>
      <modifiedWord/>
      <trackRevisions>false</trackRevisions>
    </reviewItem>
    <reviewItem>
      <errorID>4d673a92-139a-4196-b53e-3bb9a914bef6</errorID>
      <errorWord>中华人民共和国城市维护建设税暂行条例</errorWord>
      <group>L1_Knowledge</group>
      <groupName>知识性问题</groupName>
      <ability>L2_Knowledge</ability>
      <abilityName>其他知识</abilityName>
      <candidateList/>
      <explain>该法规于2011年1月8日由国务院制定，当前已废止，请注意检查引用是否正确。</explain>
      <paraID>52028FE5</paraID>
      <start>3</start>
      <end>21</end>
      <status>unmodified</status>
      <modifiedWord/>
      <trackRevisions>false</trackRevisions>
    </reviewItem>
    <reviewItem>
      <errorID>7b11f246-244d-4906-8201-84b2e8fce7c7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52028FE5</paraID>
      <start>193</start>
      <end>196</end>
      <status>unmodified</status>
      <modifiedWord/>
      <trackRevisions>false</trackRevisions>
    </reviewItem>
    <reviewItem>
      <errorID>275f93b6-fe2d-4827-b45c-aa18572aeb3e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52028FE5</paraID>
      <start>377</start>
      <end>380</end>
      <status>unmodified</status>
      <modifiedWord/>
      <trackRevisions>false</trackRevisions>
    </reviewItem>
    <reviewItem>
      <errorID>0ffcb44a-c8e9-4be5-88cd-b9596a25522c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70C32620</paraID>
      <start>176</start>
      <end>179</end>
      <status>unmodified</status>
      <modifiedWord/>
      <trackRevisions>false</trackRevisions>
    </reviewItem>
    <reviewItem>
      <errorID>273c2297-83ef-44cc-9bae-5375ea972148</errorID>
      <errorWord>中华人民共和国印花税暂行条例</errorWord>
      <group>L1_Knowledge</group>
      <groupName>知识性问题</groupName>
      <ability>L2_Knowledge</ability>
      <abilityName>其他知识</abilityName>
      <candidateList/>
      <explain>该法规于2011年1月8日由国务院制定，当前已废止，请注意检查引用是否正确。</explain>
      <paraID>407DBAAE</paraID>
      <start>3</start>
      <end>17</end>
      <status>unmodified</status>
      <modifiedWord/>
      <trackRevisions>false</trackRevisions>
    </reviewItem>
    <reviewItem>
      <errorID>fe56f36e-0b13-411f-ba97-4b0a62e9bd73</errorID>
      <errorWord>法律、法规</errorWord>
      <group>L1_Word</group>
      <groupName>字词问题</groupName>
      <ability>L2_Typo</ability>
      <abilityName>字词错误</abilityName>
      <candidateList>
        <item>法律法规</item>
      </candidateList>
      <explain/>
      <paraID>501C2A9C</paraID>
      <start>210</start>
      <end>215</end>
      <status>unmodified</status>
      <modifiedWord/>
      <trackRevisions>false</trackRevisions>
    </reviewItem>
    <reviewItem>
      <errorID>4720910f-c855-45e4-83b3-fe8a006dc773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767B7C55</paraID>
      <start>77</start>
      <end>80</end>
      <status>unmodified</status>
      <modifiedWord/>
      <trackRevisions>false</trackRevisions>
    </reviewItem>
    <reviewItem>
      <errorID>bbc8a8d4-817a-4e63-abc0-63c9b0150ac9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14A9D5DD</paraID>
      <start>161</start>
      <end>164</end>
      <status>unmodified</status>
      <modifiedWord/>
      <trackRevisions>false</trackRevisions>
    </reviewItem>
    <reviewItem>
      <errorID>5b40782c-b1fd-4d17-81a8-0568c5cdb5a3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22560FAE</paraID>
      <start>461</start>
      <end>464</end>
      <status>unmodified</status>
      <modifiedWord/>
      <trackRevisions>false</trackRevisions>
    </reviewItem>
    <reviewItem>
      <errorID>3c0b5721-bd90-4f25-a86c-4182720a54c4</errorID>
      <errorWord>二○二六</errorWord>
      <group>L1_Knowledge</group>
      <groupName>知识性问题</groupName>
      <ability>L2_Knowledge</ability>
      <abilityName>其他知识</abilityName>
      <candidateList>
        <item>二〇二六</item>
      </candidateList>
      <explain/>
      <paraID>27784A4E</paraID>
      <start>22</start>
      <end>26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5cc126-8d78-4fe8-9c42-30d3b61623d4}">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8416</Words>
  <Characters>9871</Characters>
  <Lines>0</Lines>
  <Paragraphs>0</Paragraphs>
  <TotalTime>0</TotalTime>
  <ScaleCrop>false</ScaleCrop>
  <LinksUpToDate>false</LinksUpToDate>
  <CharactersWithSpaces>9909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2024-06-19T01:35:00Z</dcterms:created>
  <dc:creator>assw</dc:creator>
  <cp:lastModifiedBy>全阿星</cp:lastModifiedBy>
  <dcterms:modified xsi:type="dcterms:W3CDTF">2026-01-21T03:42:38Z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B8D47147044F5CB847A168699A0EC5D8_42</vt:lpwstr>
  </property>
  <property fmtid="{D5CDD505-2E9C-101B-9397-08002B2CF9AE}" pid="4" name="KSOTemplateDocerSaveRecord">
    <vt:lpwstr>eyJoZGlkIjoiZWFiNjc4ODBiMjAxZTk0ODFkZTg3NDA0MTMyOTU1ZWMiLCJ1c2VySWQiOiIyMTAyMjMxMTEifQ==</vt:lpwstr>
  </property>
</Properties>
</file>