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5B38E">
      <w:pPr>
        <w:pStyle w:val="3"/>
        <w:spacing w:line="1000" w:lineRule="exact"/>
        <w:rPr>
          <w:rFonts w:ascii="华文中宋" w:hAnsi="华文中宋" w:cs="华文中宋"/>
          <w:sz w:val="52"/>
          <w:szCs w:val="52"/>
        </w:rPr>
      </w:pPr>
      <w:bookmarkStart w:id="0" w:name="_Toc681971448"/>
      <w:r>
        <w:rPr>
          <w:rFonts w:hint="eastAsia" w:ascii="华文中宋" w:hAnsi="华文中宋" w:cs="华文中宋"/>
          <w:sz w:val="52"/>
          <w:szCs w:val="52"/>
        </w:rPr>
        <w:t>国家税务总局安顺市税务局稽查局</w:t>
      </w:r>
    </w:p>
    <w:p w14:paraId="32DD4A15">
      <w:pPr>
        <w:pStyle w:val="3"/>
        <w:spacing w:line="1000" w:lineRule="exact"/>
      </w:pPr>
      <w:r>
        <w:rPr>
          <w:rFonts w:hint="eastAsia"/>
        </w:rPr>
        <w:t>税务行政处罚事项告知书</w:t>
      </w:r>
      <w:bookmarkEnd w:id="0"/>
    </w:p>
    <w:p w14:paraId="10660665">
      <w:pPr>
        <w:keepNext w:val="0"/>
        <w:keepLines w:val="0"/>
        <w:pageBreakBefore w:val="0"/>
        <w:widowControl w:val="0"/>
        <w:kinsoku/>
        <w:overflowPunct/>
        <w:topLinePunct w:val="0"/>
        <w:autoSpaceDE/>
        <w:autoSpaceDN/>
        <w:bidi w:val="0"/>
        <w:adjustRightInd w:val="0"/>
        <w:snapToGrid w:val="0"/>
        <w:spacing w:line="558" w:lineRule="exact"/>
        <w:ind w:firstLine="800"/>
        <w:jc w:val="center"/>
        <w:textAlignment w:val="auto"/>
        <w:rPr>
          <w:rFonts w:ascii="仿宋" w:hAnsi="仿宋" w:eastAsia="仿宋" w:cs="仿宋"/>
          <w:color w:val="000000"/>
          <w:spacing w:val="20"/>
          <w:sz w:val="32"/>
          <w:highlight w:val="none"/>
        </w:rPr>
      </w:pPr>
      <w:r>
        <w:rPr>
          <w:rFonts w:hint="eastAsia" w:ascii="仿宋" w:hAnsi="仿宋" w:eastAsia="仿宋" w:cs="仿宋"/>
          <w:color w:val="000000"/>
          <w:spacing w:val="20"/>
          <w:sz w:val="32"/>
          <w:highlight w:val="none"/>
        </w:rPr>
        <w:t>安市税稽罚告〔2025〕</w:t>
      </w:r>
      <w:r>
        <w:rPr>
          <w:rFonts w:ascii="仿宋" w:hAnsi="仿宋" w:eastAsia="仿宋" w:cs="仿宋"/>
          <w:color w:val="000000"/>
          <w:spacing w:val="20"/>
          <w:sz w:val="32"/>
          <w:highlight w:val="none"/>
        </w:rPr>
        <w:t>2</w:t>
      </w:r>
      <w:r>
        <w:rPr>
          <w:rFonts w:hint="eastAsia" w:ascii="仿宋" w:hAnsi="仿宋" w:eastAsia="仿宋" w:cs="仿宋"/>
          <w:color w:val="000000"/>
          <w:spacing w:val="20"/>
          <w:sz w:val="32"/>
          <w:highlight w:val="none"/>
          <w:lang w:val="en-US" w:eastAsia="zh-CN"/>
        </w:rPr>
        <w:t>1</w:t>
      </w:r>
      <w:r>
        <w:rPr>
          <w:rFonts w:hint="eastAsia" w:ascii="仿宋" w:hAnsi="仿宋" w:eastAsia="仿宋" w:cs="仿宋"/>
          <w:color w:val="000000"/>
          <w:spacing w:val="20"/>
          <w:sz w:val="32"/>
          <w:highlight w:val="none"/>
        </w:rPr>
        <w:t>号</w:t>
      </w:r>
    </w:p>
    <w:p w14:paraId="5F1615F6">
      <w:pPr>
        <w:keepNext w:val="0"/>
        <w:keepLines w:val="0"/>
        <w:pageBreakBefore w:val="0"/>
        <w:widowControl w:val="0"/>
        <w:kinsoku/>
        <w:overflowPunct/>
        <w:topLinePunct w:val="0"/>
        <w:autoSpaceDE/>
        <w:autoSpaceDN/>
        <w:bidi w:val="0"/>
        <w:adjustRightInd w:val="0"/>
        <w:snapToGrid w:val="0"/>
        <w:spacing w:line="558" w:lineRule="exact"/>
        <w:ind w:firstLine="800"/>
        <w:jc w:val="center"/>
        <w:textAlignment w:val="auto"/>
        <w:rPr>
          <w:rFonts w:ascii="仿宋" w:hAnsi="仿宋" w:eastAsia="仿宋" w:cs="仿宋"/>
          <w:color w:val="000000"/>
          <w:spacing w:val="23"/>
          <w:sz w:val="32"/>
        </w:rPr>
      </w:pPr>
      <w:r>
        <w:rPr>
          <w:rFonts w:hint="eastAsia" w:ascii="仿宋_GB2312" w:hAnsi="宋体" w:eastAsia="仿宋_GB2312"/>
          <w:b/>
          <w:sz w:val="30"/>
          <w:szCs w:val="30"/>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5080</wp:posOffset>
                </wp:positionV>
                <wp:extent cx="5687695" cy="0"/>
                <wp:effectExtent l="0" t="20320" r="8255" b="36830"/>
                <wp:wrapNone/>
                <wp:docPr id="1" name="直接箭头连接符 1"/>
                <wp:cNvGraphicFramePr/>
                <a:graphic xmlns:a="http://schemas.openxmlformats.org/drawingml/2006/main">
                  <a:graphicData uri="http://schemas.microsoft.com/office/word/2010/wordprocessingShape">
                    <wps:wsp>
                      <wps:cNvCnPr/>
                      <wps:spPr>
                        <a:xfrm>
                          <a:off x="0" y="0"/>
                          <a:ext cx="5687695" cy="0"/>
                        </a:xfrm>
                        <a:prstGeom prst="straightConnector1">
                          <a:avLst/>
                        </a:prstGeom>
                        <a:ln w="412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6.3pt;margin-top:0.4pt;height:0pt;width:447.85pt;z-index:251660288;mso-width-relative:page;mso-height-relative:page;" filled="f" stroked="t" coordsize="21600,21600" o:gfxdata="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75DqtMAAAAFAQAADwAAAAAAAAABACAAAAAiAAAAZHJzL2Rvd25y&#10;ZXYueG1sUEsBAhQAFAAAAAgAh07iQBYyTG0DAgAA+wMAAA4AAAAAAAAAAQAgAAAAIgEAAGRycy9l&#10;Mm9Eb2MueG1sUEsFBgAAAAAGAAYAWQEAAJcFAAAAAA==&#10;">
                <v:fill on="f" focussize="0,0"/>
                <v:stroke weight="3.25pt" color="#000000" joinstyle="round"/>
                <v:imagedata o:title=""/>
                <o:lock v:ext="edit" aspectratio="f"/>
              </v:shape>
            </w:pict>
          </mc:Fallback>
        </mc:AlternateContent>
      </w:r>
    </w:p>
    <w:p w14:paraId="38E52D4C">
      <w:pPr>
        <w:keepNext w:val="0"/>
        <w:keepLines w:val="0"/>
        <w:pageBreakBefore w:val="0"/>
        <w:widowControl w:val="0"/>
        <w:kinsoku/>
        <w:wordWrap w:val="0"/>
        <w:overflowPunct/>
        <w:topLinePunct w:val="0"/>
        <w:autoSpaceDE/>
        <w:autoSpaceDN/>
        <w:bidi w:val="0"/>
        <w:spacing w:line="558"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贵州华泰宁安工程建筑设计有限责任公司（社会信用代码：</w:t>
      </w:r>
      <w:r>
        <w:rPr>
          <w:rFonts w:ascii="仿宋_GB2312" w:hAnsi="仿宋_GB2312" w:eastAsia="仿宋_GB2312" w:cs="仿宋_GB2312"/>
          <w:color w:val="000000"/>
          <w:sz w:val="32"/>
          <w:szCs w:val="32"/>
        </w:rPr>
        <w:t>91520423MA6DLH799Q</w:t>
      </w:r>
      <w:r>
        <w:rPr>
          <w:rFonts w:hint="eastAsia" w:ascii="仿宋_GB2312" w:hAnsi="仿宋_GB2312" w:eastAsia="仿宋_GB2312" w:cs="仿宋_GB2312"/>
          <w:color w:val="000000"/>
          <w:sz w:val="32"/>
          <w:szCs w:val="32"/>
        </w:rPr>
        <w:t>）：</w:t>
      </w:r>
    </w:p>
    <w:p w14:paraId="711299B7">
      <w:pPr>
        <w:keepNext w:val="0"/>
        <w:keepLines w:val="0"/>
        <w:pageBreakBefore w:val="0"/>
        <w:widowControl w:val="0"/>
        <w:kinsoku/>
        <w:overflowPunct/>
        <w:topLinePunct w:val="0"/>
        <w:autoSpaceDE/>
        <w:autoSpaceDN/>
        <w:bidi w:val="0"/>
        <w:spacing w:line="558"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对你单位（地址：贵州省安顺市镇宁布依族苗族自治县城关镇城西村五组）的税收违法行为拟</w:t>
      </w:r>
      <w:r>
        <w:rPr>
          <w:rFonts w:hint="eastAsia" w:ascii="仿宋_GB2312" w:hAnsi="仿宋_GB2312" w:eastAsia="仿宋_GB2312" w:cs="仿宋_GB2312"/>
          <w:color w:val="000000"/>
          <w:sz w:val="32"/>
          <w:szCs w:val="32"/>
          <w:lang w:eastAsia="zh-CN"/>
        </w:rPr>
        <w:t>于</w:t>
      </w:r>
      <w:r>
        <w:rPr>
          <w:rFonts w:hint="eastAsia" w:ascii="仿宋_GB2312" w:hAnsi="仿宋_GB2312" w:eastAsia="仿宋_GB2312" w:cs="仿宋_GB2312"/>
          <w:color w:val="000000"/>
          <w:sz w:val="32"/>
          <w:szCs w:val="32"/>
          <w:lang w:val="en-US" w:eastAsia="zh-CN"/>
        </w:rPr>
        <w:t>2026年1月</w:t>
      </w:r>
      <w:r>
        <w:rPr>
          <w:rFonts w:hint="eastAsia" w:ascii="仿宋_GB2312" w:hAnsi="仿宋_GB2312" w:eastAsia="仿宋_GB2312" w:cs="仿宋_GB2312"/>
          <w:color w:val="000000"/>
          <w:sz w:val="32"/>
          <w:szCs w:val="32"/>
          <w:highlight w:val="none"/>
          <w:lang w:val="en-US" w:eastAsia="zh-CN"/>
        </w:rPr>
        <w:t>16日</w:t>
      </w:r>
      <w:r>
        <w:rPr>
          <w:rFonts w:hint="eastAsia" w:ascii="仿宋_GB2312" w:hAnsi="仿宋_GB2312" w:eastAsia="仿宋_GB2312" w:cs="仿宋_GB2312"/>
          <w:color w:val="000000"/>
          <w:sz w:val="32"/>
          <w:szCs w:val="32"/>
        </w:rPr>
        <w:t>作出税务行政处罚决定，根据《中华人民共和国税收征收管理法》第八条、《中华人民共和国行政处罚法》第四十四条、第六十三条、第六十四条规定，现将有关事项告知如下：</w:t>
      </w:r>
      <w:bookmarkStart w:id="1" w:name="_Toc73516670"/>
    </w:p>
    <w:p w14:paraId="3958EA27">
      <w:pPr>
        <w:keepNext w:val="0"/>
        <w:keepLines w:val="0"/>
        <w:pageBreakBefore w:val="0"/>
        <w:widowControl w:val="0"/>
        <w:kinsoku/>
        <w:overflowPunct/>
        <w:topLinePunct w:val="0"/>
        <w:autoSpaceDE/>
        <w:autoSpaceDN/>
        <w:bidi w:val="0"/>
        <w:spacing w:line="558"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一、税务行政处罚的事实、理由、依据及拟作出的处罚决定</w:t>
      </w:r>
      <w:bookmarkEnd w:id="1"/>
    </w:p>
    <w:p w14:paraId="0D09B762">
      <w:pPr>
        <w:pStyle w:val="2"/>
        <w:keepNext w:val="0"/>
        <w:keepLines w:val="0"/>
        <w:pageBreakBefore w:val="0"/>
        <w:widowControl w:val="0"/>
        <w:kinsoku/>
        <w:overflowPunct/>
        <w:topLinePunct w:val="0"/>
        <w:autoSpaceDE/>
        <w:autoSpaceDN/>
        <w:bidi w:val="0"/>
        <w:spacing w:line="558"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（一）发票违法情况</w:t>
      </w:r>
    </w:p>
    <w:p w14:paraId="6A3C15D9">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1.你单位取得贵州宏翼翔汽车销售服务有限公司2020年8月20日至2020年8月24日开具的增值税专用发票6份（发票代码：5200193130，发票号码：02614748</w:t>
      </w:r>
      <w:r>
        <w:rPr>
          <w:rFonts w:hint="eastAsia" w:ascii="仿宋_GB2312" w:hAnsi="Arial" w:eastAsia="仿宋_GB2312"/>
          <w:kern w:val="0"/>
          <w:sz w:val="32"/>
          <w:szCs w:val="32"/>
        </w:rPr>
        <w:t>～</w:t>
      </w:r>
      <w:r>
        <w:rPr>
          <w:rFonts w:hint="eastAsia" w:ascii="仿宋" w:hAnsi="仿宋" w:eastAsia="仿宋" w:cs="仿宋"/>
          <w:sz w:val="32"/>
          <w:szCs w:val="32"/>
        </w:rPr>
        <w:t>02614752；发票代码：5200194130，发票号码：00961329），货物劳务名称：*其他机械设备*机械配件，金额460,177.02元，税额59,822.98元，价税合计520,000.00元。你单位于2020年8月对上述发票的进项税额进行了抵扣，共抵扣进项税款59,822.98元，同时在企业所得税前列支主营业务成本460,177.02元。经查上述发票存在以下问题：</w:t>
      </w:r>
    </w:p>
    <w:p w14:paraId="36212741">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（1）长期挂账未付款。你单位对该笔业务计入应付账款，金额520,000.00元，长期未支付。</w:t>
      </w:r>
    </w:p>
    <w:p w14:paraId="43DE9BF5">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2）贵州宏翼翔汽车销售服务有限公司实际经营人李*林询问笔录说明贵州宏翼翔汽车销售服务有限公司2018年年底就停止经营，且贵州宏翼翔汽车销售服务有限公司经营业务只是代理销售奇瑞和吉利牌子的新车，与你单位无实际业务往来，贵州宏翼翔汽车销售服务有限公司的法人代表章、公章、发票专用章全部交由为其代理记账的贵州理得清财务有限公司实际控制人王*（系贵州宏翼翔汽车销售服务有限公司财务负责人，也是你单位股东、实际控制人）保管和使用，上述发票也是王*开具的。</w:t>
      </w:r>
    </w:p>
    <w:p w14:paraId="7BAF7E4E">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3）贵州宏翼翔汽车销售服务有限公司货物购销不匹配。上述开具的增值税专用发票货物名称为“*其他机械设备*机械配件”，贵州宏翼翔汽车销售服务有限公司无“*其他机械设备*机械配件”购进，货物购销不匹配。</w:t>
      </w:r>
    </w:p>
    <w:p w14:paraId="0568F81C">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368F5027">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证据1：贵州宏翼翔汽车销售服务有限公司2019年至2021年发票取得及开具明细，用于证明贵州宏翼翔汽车销售服务有限公司货物购销不匹配。</w:t>
      </w:r>
    </w:p>
    <w:p w14:paraId="1DBB9280">
      <w:pPr>
        <w:pStyle w:val="2"/>
        <w:keepNext w:val="0"/>
        <w:keepLines w:val="0"/>
        <w:pageBreakBefore w:val="0"/>
        <w:widowControl w:val="0"/>
        <w:kinsoku/>
        <w:overflowPunct/>
        <w:topLinePunct w:val="0"/>
        <w:autoSpaceDE/>
        <w:autoSpaceDN/>
        <w:bidi w:val="0"/>
        <w:spacing w:line="558"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证据2：你单位应付账款明细账，用于证明交易未付款，无真实的资金交易。</w:t>
      </w:r>
    </w:p>
    <w:p w14:paraId="6975B899">
      <w:pPr>
        <w:pStyle w:val="2"/>
        <w:keepNext w:val="0"/>
        <w:keepLines w:val="0"/>
        <w:pageBreakBefore w:val="0"/>
        <w:widowControl w:val="0"/>
        <w:kinsoku/>
        <w:overflowPunct/>
        <w:topLinePunct w:val="0"/>
        <w:autoSpaceDE/>
        <w:autoSpaceDN/>
        <w:bidi w:val="0"/>
        <w:spacing w:line="558" w:lineRule="exact"/>
        <w:ind w:firstLine="640"/>
        <w:textAlignment w:val="auto"/>
        <w:rPr>
          <w:rFonts w:hint="eastAsia" w:ascii="仿宋" w:hAnsi="仿宋" w:eastAsia="仿宋" w:cs="仿宋"/>
          <w:sz w:val="32"/>
          <w:szCs w:val="32"/>
        </w:rPr>
      </w:pPr>
      <w:r>
        <w:rPr>
          <w:rFonts w:hint="eastAsia" w:ascii="仿宋" w:hAnsi="仿宋" w:eastAsia="仿宋" w:cs="仿宋"/>
          <w:sz w:val="32"/>
          <w:szCs w:val="32"/>
          <w:lang w:eastAsia="zh-CN"/>
        </w:rPr>
        <w:t>证据</w:t>
      </w:r>
      <w:r>
        <w:rPr>
          <w:rFonts w:hint="eastAsia" w:ascii="仿宋" w:hAnsi="仿宋" w:eastAsia="仿宋" w:cs="仿宋"/>
          <w:sz w:val="32"/>
          <w:szCs w:val="32"/>
          <w:lang w:val="en-US" w:eastAsia="zh-CN"/>
        </w:rPr>
        <w:t>3：询问笔录，</w:t>
      </w:r>
      <w:r>
        <w:rPr>
          <w:rFonts w:hint="eastAsia" w:ascii="仿宋" w:hAnsi="仿宋" w:eastAsia="仿宋" w:cs="仿宋"/>
          <w:sz w:val="32"/>
          <w:szCs w:val="32"/>
        </w:rPr>
        <w:t>用于证明贵州宏翼翔汽车销售服务有限公司与你单位无实际业务往来</w:t>
      </w:r>
      <w:r>
        <w:rPr>
          <w:rFonts w:hint="eastAsia" w:ascii="仿宋" w:hAnsi="仿宋" w:eastAsia="仿宋" w:cs="仿宋"/>
          <w:sz w:val="32"/>
          <w:szCs w:val="32"/>
          <w:lang w:eastAsia="zh-CN"/>
        </w:rPr>
        <w:t>。</w:t>
      </w:r>
    </w:p>
    <w:p w14:paraId="596BC570">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证据</w:t>
      </w:r>
      <w:r>
        <w:rPr>
          <w:rFonts w:hint="eastAsia" w:ascii="仿宋" w:hAnsi="仿宋" w:eastAsia="仿宋" w:cs="仿宋"/>
          <w:sz w:val="32"/>
          <w:szCs w:val="32"/>
          <w:lang w:val="en-US" w:eastAsia="zh-CN"/>
        </w:rPr>
        <w:t>4</w:t>
      </w:r>
      <w:r>
        <w:rPr>
          <w:rFonts w:hint="eastAsia" w:ascii="仿宋" w:hAnsi="仿宋" w:eastAsia="仿宋" w:cs="仿宋"/>
          <w:sz w:val="32"/>
          <w:szCs w:val="32"/>
        </w:rPr>
        <w:t>：记账凭证</w:t>
      </w:r>
      <w:r>
        <w:rPr>
          <w:rFonts w:hint="eastAsia" w:ascii="仿宋" w:hAnsi="仿宋" w:eastAsia="仿宋" w:cs="仿宋"/>
          <w:sz w:val="32"/>
          <w:szCs w:val="32"/>
          <w:lang w:eastAsia="zh-CN"/>
        </w:rPr>
        <w:t>、</w:t>
      </w:r>
      <w:r>
        <w:rPr>
          <w:rFonts w:hint="eastAsia" w:ascii="仿宋" w:hAnsi="仿宋" w:eastAsia="仿宋" w:cs="仿宋"/>
          <w:sz w:val="32"/>
          <w:szCs w:val="32"/>
        </w:rPr>
        <w:t>发票复印件、增值税申报表及抵扣发票统计表，用于证明你单位取得上述增值税专用发票并进行申报抵扣和企业所得税税前扣除。</w:t>
      </w:r>
    </w:p>
    <w:p w14:paraId="4C197667">
      <w:pPr>
        <w:pStyle w:val="2"/>
        <w:keepNext w:val="0"/>
        <w:keepLines w:val="0"/>
        <w:pageBreakBefore w:val="0"/>
        <w:widowControl w:val="0"/>
        <w:kinsoku/>
        <w:overflowPunct/>
        <w:topLinePunct w:val="0"/>
        <w:autoSpaceDE/>
        <w:autoSpaceDN/>
        <w:bidi w:val="0"/>
        <w:spacing w:line="558"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证据</w:t>
      </w:r>
      <w:r>
        <w:rPr>
          <w:rFonts w:hint="eastAsia" w:ascii="仿宋" w:hAnsi="仿宋" w:eastAsia="仿宋" w:cs="仿宋"/>
          <w:sz w:val="32"/>
          <w:szCs w:val="32"/>
          <w:lang w:val="en-US" w:eastAsia="zh-CN"/>
        </w:rPr>
        <w:t>5</w:t>
      </w:r>
      <w:r>
        <w:rPr>
          <w:rFonts w:hint="eastAsia" w:ascii="仿宋" w:hAnsi="仿宋" w:eastAsia="仿宋" w:cs="仿宋"/>
          <w:sz w:val="32"/>
          <w:szCs w:val="32"/>
        </w:rPr>
        <w:t>：增值税发票税控系统V2.0查询截图，用于证明你单位与贵州宏翼翔汽车销售服务有限公司开具发票的IP地址在同一网络且MAC地址相同，即两家公司由同一台电脑在同一网络下对外开具发票，说明两家公司的发票开具是共同操作的。</w:t>
      </w:r>
    </w:p>
    <w:p w14:paraId="7B766AE1">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2.你单位取得安顺润亨化工贸易有限公司2020年9月14日至2020年10月20日开具的增值税专用发票80份（发票代码：5200193130，发票号码：02538446～02538454、02538456～02538458、02538460～02538466,、02538491～02538509；发票代码：5200194130，发票号码：04856368～04856377、04856384～04856396、04856408～04856426），货物劳务名称：*沥青*沥青，数量2,230.38吨，金额7,466,556.24元，税额970,652.36元，价税合计8,437,208.60元。取得安顺润亨化工贸易有限公司2020年9月14日至2020年10月20日开具的增值税专用发票11份（发票代码：5200193130，发票号码：02538467～02538469、02538510～02538512；发票代码：5200194130，发票号码：04856378、04856427、04856397、04856398、04856428），货物劳务名称：*运输服务*陆路货物运输服务，数量2,230.38吨，金额859,412.48元，税额77,347.12元，价税合计936,759.60元。上述进项税额已于2020年9月及10月进行了认证抵扣，并在2020年企业所得税前列支主营业务成本8,325,968.72元。经查上述发票存在以下问题：</w:t>
      </w:r>
    </w:p>
    <w:p w14:paraId="572B0613">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1）资金出现部分回流。上述购进沥青的业务，你单位2020年8月31日至2020年12月18日通过对公银行账户打款4,580,635.20元到安顺润亨化工贸易有限公司对公银行账户，安顺润亨化工贸易有限公司再通过对公银行账户及严*海、陈*敏、高*、李*民等个人账户打款4,160,824.60元给王*。</w:t>
      </w:r>
    </w:p>
    <w:p w14:paraId="27D09524">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color w:val="FF0000"/>
          <w:sz w:val="32"/>
          <w:szCs w:val="32"/>
        </w:rPr>
      </w:pPr>
      <w:r>
        <w:rPr>
          <w:rFonts w:hint="eastAsia" w:ascii="仿宋" w:hAnsi="仿宋" w:eastAsia="仿宋" w:cs="仿宋"/>
          <w:sz w:val="32"/>
          <w:szCs w:val="32"/>
        </w:rPr>
        <w:t>（2）伪造运输单据。在对安顺润亨化工贸易有限公司外调协查时，安顺润亨化工贸易有限公司提供关于向你单位销售沥青的“送货单”显示送货车辆车号为“贵J38306”，而在对安顺润亨化工贸易有限公司立案检查后，调取其凭证发现记账凭证所附“危险货物运输单”显示车号为“桂NS819(黄色)”、“桂NB9087（黄色）”、“贵GBF867（黄色）”，销售沥青的业务出现了两份不同的运单；另外，安顺润亨化工贸易有限公司记账凭证所附“危险货物运输单”内容与其对应电子运单二维码扫描信息不符，经对严*海进行询问，严*海陈述沥青运输业务记账凭证所附的运单是为了多结算运费伪造的，其中没有二维码的运单、有二维码但是扫码结果与运单上填列资料不一致的均为作假。</w:t>
      </w:r>
    </w:p>
    <w:p w14:paraId="5D330305">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22064F8F">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证据1：银行流水，用于证明上述业务存在资金回流。</w:t>
      </w:r>
    </w:p>
    <w:p w14:paraId="311DF165">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证据2：安顺润亨化工贸易有限公司向你单位销售沥青的货物运输单，用于证明物流依据不实。</w:t>
      </w:r>
    </w:p>
    <w:p w14:paraId="006734AB">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证据3：记账凭证、发票复印件及申报表，用于证明你单位取得上述增值税专用发票进行申报抵扣和企业所得税税前扣除。</w:t>
      </w:r>
    </w:p>
    <w:p w14:paraId="66A32A13">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2022年6月，安顺市税务局稽查局将你单位上述虚开发票的线索移送给镇宁布依族苗族自治县公安局经济犯罪侦查大队，经公安机关对王*立案及检察院起诉后，2024年12月30日镇宁布依族苗族自治县人民法院作出王*犯虚开增值税发票罪的刑事判决，《刑事判决书》（（2024）黔0423刑初198号）确认上述贵州宏翼翔汽车销售服务有限公司开具给你单位的6份增值税专用发票（金额460,177.02元，税额59,822.98元）、安顺润亨化工贸易有限公司开具给你单位的91份增值税专用发票（金额8,325,968.72元，税额1,047,999.48元）为虚开发票，判决王*犯虚开增值税专用发票罪，并处罚金人民币5万元。王*提起上诉，经安顺市中级</w:t>
      </w:r>
      <w:r>
        <w:rPr>
          <w:rFonts w:hint="eastAsia" w:ascii="仿宋" w:hAnsi="仿宋" w:eastAsia="仿宋" w:cs="仿宋"/>
          <w:sz w:val="32"/>
          <w:szCs w:val="32"/>
          <w:lang w:eastAsia="zh-CN"/>
        </w:rPr>
        <w:t>人民</w:t>
      </w:r>
      <w:r>
        <w:rPr>
          <w:rFonts w:hint="eastAsia" w:ascii="仿宋" w:hAnsi="仿宋" w:eastAsia="仿宋" w:cs="仿宋"/>
          <w:sz w:val="32"/>
          <w:szCs w:val="32"/>
        </w:rPr>
        <w:t>法院于2025年3月21日作出终审裁定，《刑事裁定书》（（2025）黔04刑终24号）驳回上诉，维持原判。</w:t>
      </w:r>
    </w:p>
    <w:p w14:paraId="161D871E">
      <w:pPr>
        <w:pStyle w:val="2"/>
        <w:keepNext w:val="0"/>
        <w:keepLines w:val="0"/>
        <w:pageBreakBefore w:val="0"/>
        <w:widowControl w:val="0"/>
        <w:kinsoku/>
        <w:overflowPunct/>
        <w:topLinePunct w:val="0"/>
        <w:autoSpaceDE/>
        <w:autoSpaceDN/>
        <w:bidi w:val="0"/>
        <w:spacing w:line="558" w:lineRule="exact"/>
        <w:ind w:firstLine="640"/>
        <w:textAlignment w:val="auto"/>
        <w:rPr>
          <w:rFonts w:ascii="仿宋_GB2312" w:hAnsi="仿宋_GB2312" w:eastAsia="仿宋_GB2312" w:cs="仿宋_GB2312"/>
          <w:sz w:val="32"/>
          <w:szCs w:val="32"/>
        </w:rPr>
      </w:pPr>
      <w:r>
        <w:rPr>
          <w:rFonts w:hint="eastAsia" w:ascii="仿宋" w:hAnsi="仿宋" w:eastAsia="仿宋" w:cs="仿宋"/>
          <w:sz w:val="32"/>
          <w:szCs w:val="32"/>
        </w:rPr>
        <w:t>3.你单位取得安顺润亨化工贸易有限公司2021年12月29日开具的增值税专用发票26份（发票代码：5200212130，发票号码：01403721</w:t>
      </w:r>
      <w:r>
        <w:rPr>
          <w:rFonts w:hint="eastAsia" w:ascii="仿宋_GB2312" w:hAnsi="Arial" w:eastAsia="仿宋_GB2312"/>
          <w:kern w:val="0"/>
          <w:sz w:val="32"/>
          <w:szCs w:val="32"/>
        </w:rPr>
        <w:t>～</w:t>
      </w:r>
      <w:r>
        <w:rPr>
          <w:rFonts w:hint="eastAsia" w:ascii="仿宋" w:hAnsi="仿宋" w:eastAsia="仿宋" w:cs="仿宋"/>
          <w:sz w:val="32"/>
          <w:szCs w:val="32"/>
        </w:rPr>
        <w:t>01403746），货物劳务名称：*非成品油石油制品*轻质循环油，数量650吨，金额</w:t>
      </w:r>
      <w:r>
        <w:rPr>
          <w:rFonts w:hint="eastAsia" w:ascii="仿宋_GB2312" w:hAnsi="仿宋_GB2312" w:eastAsia="仿宋_GB2312" w:cs="仿宋_GB2312"/>
          <w:sz w:val="32"/>
          <w:szCs w:val="32"/>
        </w:rPr>
        <w:t>2,588,495.52元，税额336,504.48元，价税合计2,925,000.00元。取得</w:t>
      </w:r>
      <w:r>
        <w:rPr>
          <w:rFonts w:hint="eastAsia" w:ascii="仿宋" w:hAnsi="仿宋" w:eastAsia="仿宋" w:cs="仿宋"/>
          <w:sz w:val="32"/>
          <w:szCs w:val="32"/>
        </w:rPr>
        <w:t>安顺润亨化工贸易有限公司2021年12月29日、2021年12月30日开具的增值税专用发票2份（发票代码：5200212130，发票号码：01403747、03371236），货物劳务名称：*运输服务*陆路货物运输服务，数量650吨，金额</w:t>
      </w:r>
      <w:r>
        <w:rPr>
          <w:rFonts w:hint="eastAsia" w:ascii="仿宋_GB2312" w:hAnsi="仿宋_GB2312" w:eastAsia="仿宋_GB2312" w:cs="仿宋_GB2312"/>
          <w:sz w:val="32"/>
          <w:szCs w:val="32"/>
        </w:rPr>
        <w:t>107,339.45元，税额9,660.55元，价税合计117,000.00元。上述发票你单位未用于增值税进项税额申报抵扣，你单位在2021年12月记21#记账凭证中列支主营业务成本3,773,269.03元，所附原始单据即为上述26份轻质循环油及2份运输服务的</w:t>
      </w:r>
      <w:r>
        <w:rPr>
          <w:rFonts w:hint="eastAsia" w:ascii="仿宋" w:hAnsi="仿宋" w:eastAsia="仿宋" w:cs="仿宋"/>
          <w:sz w:val="32"/>
          <w:szCs w:val="32"/>
        </w:rPr>
        <w:t>增值税专用发票。</w:t>
      </w:r>
      <w:r>
        <w:rPr>
          <w:rFonts w:hint="eastAsia" w:ascii="仿宋_GB2312" w:hAnsi="仿宋_GB2312" w:eastAsia="仿宋_GB2312" w:cs="仿宋_GB2312"/>
          <w:sz w:val="32"/>
          <w:szCs w:val="32"/>
        </w:rPr>
        <w:t>经查，上述发票存在以下问题：</w:t>
      </w:r>
    </w:p>
    <w:p w14:paraId="37E873FC">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_GB2312" w:hAnsi="仿宋_GB2312" w:eastAsia="仿宋_GB2312" w:cs="仿宋_GB2312"/>
          <w:sz w:val="32"/>
          <w:szCs w:val="32"/>
        </w:rPr>
        <w:t>（1）无真实业务交易。经询问王*和</w:t>
      </w:r>
      <w:r>
        <w:rPr>
          <w:rFonts w:hint="eastAsia" w:ascii="仿宋" w:hAnsi="仿宋" w:eastAsia="仿宋" w:cs="仿宋"/>
          <w:sz w:val="32"/>
          <w:szCs w:val="32"/>
        </w:rPr>
        <w:t>安顺润亨化工贸易有限公司法定代表人严*海，均确认未实际发生上述轻质循环油交易及运输服务。</w:t>
      </w:r>
    </w:p>
    <w:p w14:paraId="31F45BF8">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2）资金存在回流。在没有真实交易的情况下，你单位2022年1月25日通过对公银行账户打款500,000.00元到安顺润亨化工贸易有限公司对公银行账户，安顺润亨化工贸易有限公司通过其法定代表人严*海的银行账户于2022年1月26日、2022年1月28日向王*回款450,000.00元。</w:t>
      </w:r>
    </w:p>
    <w:p w14:paraId="36EF3371">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5989E472">
      <w:pPr>
        <w:pStyle w:val="2"/>
        <w:keepNext w:val="0"/>
        <w:keepLines w:val="0"/>
        <w:pageBreakBefore w:val="0"/>
        <w:widowControl w:val="0"/>
        <w:kinsoku/>
        <w:overflowPunct/>
        <w:topLinePunct w:val="0"/>
        <w:autoSpaceDE/>
        <w:autoSpaceDN/>
        <w:bidi w:val="0"/>
        <w:spacing w:line="558" w:lineRule="exact"/>
        <w:ind w:firstLine="640"/>
        <w:textAlignment w:val="auto"/>
        <w:rPr>
          <w:rFonts w:ascii="仿宋_GB2312" w:hAnsi="仿宋_GB2312" w:eastAsia="仿宋_GB2312" w:cs="仿宋_GB2312"/>
          <w:sz w:val="32"/>
          <w:szCs w:val="32"/>
        </w:rPr>
      </w:pPr>
      <w:r>
        <w:rPr>
          <w:rFonts w:hint="eastAsia" w:ascii="仿宋" w:hAnsi="仿宋" w:eastAsia="仿宋" w:cs="仿宋"/>
          <w:sz w:val="32"/>
          <w:szCs w:val="32"/>
        </w:rPr>
        <w:t>证据1：</w:t>
      </w:r>
      <w:r>
        <w:rPr>
          <w:rFonts w:hint="eastAsia" w:ascii="仿宋_GB2312" w:hAnsi="仿宋_GB2312" w:eastAsia="仿宋_GB2312" w:cs="仿宋_GB2312"/>
          <w:sz w:val="32"/>
          <w:szCs w:val="32"/>
        </w:rPr>
        <w:t>王*、</w:t>
      </w:r>
      <w:r>
        <w:rPr>
          <w:rFonts w:hint="eastAsia" w:ascii="仿宋" w:hAnsi="仿宋" w:eastAsia="仿宋" w:cs="仿宋"/>
          <w:sz w:val="32"/>
          <w:szCs w:val="32"/>
        </w:rPr>
        <w:t>严*海询问笔录，用于证明</w:t>
      </w:r>
      <w:r>
        <w:rPr>
          <w:rFonts w:hint="eastAsia" w:ascii="仿宋_GB2312" w:hAnsi="仿宋_GB2312" w:eastAsia="仿宋_GB2312" w:cs="仿宋_GB2312"/>
          <w:sz w:val="32"/>
          <w:szCs w:val="32"/>
        </w:rPr>
        <w:t>贵州华泰宁安工程建筑设计有限责任公司与安顺润亨化工贸易有限公司无轻质循环油的购销业务。</w:t>
      </w:r>
    </w:p>
    <w:p w14:paraId="038A5972">
      <w:pPr>
        <w:pStyle w:val="2"/>
        <w:keepNext w:val="0"/>
        <w:keepLines w:val="0"/>
        <w:pageBreakBefore w:val="0"/>
        <w:widowControl w:val="0"/>
        <w:kinsoku/>
        <w:overflowPunct/>
        <w:topLinePunct w:val="0"/>
        <w:autoSpaceDE/>
        <w:autoSpaceDN/>
        <w:bidi w:val="0"/>
        <w:spacing w:line="558"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证据2：银行流水，证明存在资金回流的情况。</w:t>
      </w:r>
    </w:p>
    <w:p w14:paraId="2C65F9BA">
      <w:pPr>
        <w:pStyle w:val="2"/>
        <w:keepNext w:val="0"/>
        <w:keepLines w:val="0"/>
        <w:pageBreakBefore w:val="0"/>
        <w:widowControl w:val="0"/>
        <w:kinsoku/>
        <w:overflowPunct/>
        <w:topLinePunct w:val="0"/>
        <w:autoSpaceDE/>
        <w:autoSpaceDN/>
        <w:bidi w:val="0"/>
        <w:spacing w:line="558"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证据3：增值税申报表、发票抵扣清册、2021年12月记21#记账凭证、主营业务成本明细账，用于证明上述发票未抵扣增值税进项税额及在企业所得税前列支情况。</w:t>
      </w:r>
    </w:p>
    <w:p w14:paraId="24A4D1FF">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4.你单位2019年6月25日向贵州安顺家喻物业管理有限公司开具增值税专用发票1份（发票代码：5200212130，发票号码：01190976），货物劳务名称：*劳务*维修费，金额41,339.81元，税额1,240.19元，价税合计42,580.00元。经查上述发票存在以下问题：</w:t>
      </w:r>
    </w:p>
    <w:p w14:paraId="0757F296">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（1）业务不真实。根据罗*的《询问笔录》，上述业务是罗*承接的贵州安顺家喻物业管理有限公司家运天城的房屋维修，与你单位无任何关系，罗*也不属于你单位的工作人员。</w:t>
      </w:r>
    </w:p>
    <w:p w14:paraId="4FA01AB9">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2）存在支付手续费。经查，上述业务款项是贵州安顺家喻物业管理有限公司直接付款给罗*，罗*为了向贵州安顺家喻物业管理有限公司提供发票，通过支付手续费的方式找王*为其提供发票，王*指使贵州理得清财务有限公司员工彭*毕通过微信收取罗*手续费2,129.00元，后彭*毕又将该笔资金转到了贵州理得清财务有限公司微信</w:t>
      </w:r>
      <w:r>
        <w:rPr>
          <w:rFonts w:hint="eastAsia" w:ascii="仿宋" w:hAnsi="仿宋" w:eastAsia="仿宋" w:cs="仿宋"/>
          <w:sz w:val="32"/>
          <w:szCs w:val="32"/>
          <w:lang w:eastAsia="zh-CN"/>
        </w:rPr>
        <w:t>账号</w:t>
      </w:r>
      <w:r>
        <w:rPr>
          <w:rFonts w:hint="eastAsia" w:ascii="仿宋" w:hAnsi="仿宋" w:eastAsia="仿宋" w:cs="仿宋"/>
          <w:sz w:val="32"/>
          <w:szCs w:val="32"/>
        </w:rPr>
        <w:t>。</w:t>
      </w:r>
    </w:p>
    <w:p w14:paraId="2525DD31">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72B6D3AB">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证据1：贵州安顺家喻物业管理有限公司提供的关于罗*承接的维修业务的凭证、报销单、转账凭据等资料，用于证明你单位未与贵州安顺家喻物业管理有限公司发生过业务往来。</w:t>
      </w:r>
    </w:p>
    <w:p w14:paraId="6A4D7727">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证据2：彭*毕笔录及微信截图，用于证明王*通过控制的贵州理得清财务有限公司收取手续费的情况。</w:t>
      </w:r>
    </w:p>
    <w:p w14:paraId="60BF540E">
      <w:pPr>
        <w:pStyle w:val="2"/>
        <w:keepNext w:val="0"/>
        <w:keepLines w:val="0"/>
        <w:pageBreakBefore w:val="0"/>
        <w:widowControl w:val="0"/>
        <w:kinsoku/>
        <w:overflowPunct/>
        <w:topLinePunct w:val="0"/>
        <w:autoSpaceDE/>
        <w:autoSpaceDN/>
        <w:bidi w:val="0"/>
        <w:spacing w:line="558" w:lineRule="exact"/>
        <w:ind w:firstLine="640"/>
        <w:textAlignment w:val="auto"/>
        <w:rPr>
          <w:rFonts w:ascii="仿宋" w:hAnsi="仿宋" w:eastAsia="仿宋" w:cs="仿宋"/>
          <w:sz w:val="32"/>
          <w:szCs w:val="32"/>
        </w:rPr>
      </w:pPr>
      <w:r>
        <w:rPr>
          <w:rFonts w:hint="eastAsia" w:ascii="仿宋" w:hAnsi="仿宋" w:eastAsia="仿宋" w:cs="仿宋"/>
          <w:sz w:val="32"/>
          <w:szCs w:val="32"/>
        </w:rPr>
        <w:t>证据3：罗*笔录，用于证明你单位与贵州安顺家喻物业管理有限公司无实际业务发生。</w:t>
      </w:r>
    </w:p>
    <w:p w14:paraId="4BF2D541">
      <w:pPr>
        <w:pStyle w:val="2"/>
        <w:keepNext w:val="0"/>
        <w:keepLines w:val="0"/>
        <w:pageBreakBefore w:val="0"/>
        <w:widowControl w:val="0"/>
        <w:kinsoku/>
        <w:overflowPunct/>
        <w:topLinePunct w:val="0"/>
        <w:autoSpaceDE/>
        <w:autoSpaceDN/>
        <w:bidi w:val="0"/>
        <w:spacing w:line="558"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证据4：你单位的社保缴费明细和个税扣缴申报明细，证明罗*不属于你单位的工作人员。</w:t>
      </w:r>
    </w:p>
    <w:p w14:paraId="55599432">
      <w:pPr>
        <w:pStyle w:val="2"/>
        <w:keepNext w:val="0"/>
        <w:keepLines w:val="0"/>
        <w:pageBreakBefore w:val="0"/>
        <w:widowControl w:val="0"/>
        <w:kinsoku/>
        <w:overflowPunct/>
        <w:topLinePunct w:val="0"/>
        <w:autoSpaceDE/>
        <w:autoSpaceDN/>
        <w:bidi w:val="0"/>
        <w:spacing w:line="558"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根据《中华人民共和国发票管理办法》第二十一条第二款“任何单位和个人不得有下列虚开发票行为：（一）为他人、为自己开具与实际经营业务情况不符的发票；（二）让他人为自己开具与实际经营业务情况不符的发票……”、《中华人民共和国发票管理办法实施细则》第二十四条“填开发票的单位和个人必须在发生经营业务确认营业收入时开具发票。未发生经营业务一律不准开具发票。”、第二十九条“《办法》第二十一条所称与实际经营业务情况不符是指具有下列行为之一的：（一）未购销商品、未提供或者接受服务、未从事其他经营活动，而</w:t>
      </w:r>
      <w:bookmarkStart w:id="2" w:name="_GoBack"/>
      <w:bookmarkEnd w:id="2"/>
      <w:r>
        <w:rPr>
          <w:rFonts w:hint="eastAsia" w:ascii="仿宋" w:hAnsi="仿宋" w:eastAsia="仿宋" w:cs="仿宋"/>
          <w:sz w:val="32"/>
          <w:szCs w:val="32"/>
        </w:rPr>
        <w:t>开具或取得发票；（二）有购销商品、提供或者接受服务、从事其他经营活动，但开具或取得的发票载明的购买方、销售方、商品名称或经营项目、金额等与实际情况不符”之规定，你单位取得、开具的上述126份增值税专用发票属于为他人、让他人为自己开具与实际经营业务情况不符的发票，发票金额共计11,523,320.52元,税额1,455,227.68元，价税合计12,978,548.20元。</w:t>
      </w:r>
    </w:p>
    <w:p w14:paraId="21EA5A64">
      <w:pPr>
        <w:pStyle w:val="2"/>
        <w:keepNext w:val="0"/>
        <w:keepLines w:val="0"/>
        <w:pageBreakBefore w:val="0"/>
        <w:widowControl w:val="0"/>
        <w:numPr>
          <w:ilvl w:val="0"/>
          <w:numId w:val="1"/>
        </w:numPr>
        <w:kinsoku/>
        <w:overflowPunct/>
        <w:topLinePunct w:val="0"/>
        <w:autoSpaceDE/>
        <w:autoSpaceDN/>
        <w:bidi w:val="0"/>
        <w:spacing w:line="558"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涉税违法情况</w:t>
      </w:r>
    </w:p>
    <w:p w14:paraId="0192214A">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1.增值税</w:t>
      </w:r>
    </w:p>
    <w:p w14:paraId="313DD1A3">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中华人民共和国增值税暂行条例》第九条“纳税人购进货物、劳务、服务、无形资产、不动产，取得的增值税扣税凭证不符合法律、行政法规或者国务院税务主管部门有关规定的，其进项税额不得从销项税额中抵扣。”、《中华人民共和国增值税暂行条例实施细则》第十九条“条例第九条所称增值税扣税凭证，是指增值税专用发票、海关进口增值税专用缴款书、农产品收购发票和农产品销售发票以及运输费用结算单据。”、《国家税务总局关于纳税人虚开增值税专用发票征补税款问题的公告》（国家税务总局公告2012年第33号）“……纳税人取得虚开的增值税专用发票，不得作为增值税合法有效的扣税凭证抵扣其进项税额。”之规定，你单位取得的上述虚开增值税专用发票不得抵扣进项税额，应作进项税额转出，你单位用于抵扣进项税额的虚开增值税专用发票共计97份（金额8,786,145.74元，税额1,107,822.46元），造成少缴增值税1,107,822.46元（其中411,336.97元为你单位2021年7月取得的留抵退税款）。鉴于《贵州省镇宁布依族苗族自治县人民法院刑事判决书》（[2024]黔0423刑初198号）作出的判决：“王*退缴的违法所得人民币20万元，依法返还国家税务总局镇宁布依族苗族自治县税务局；向王*追缴违法所得人民币21.133697万元，依法返还国家税务总局镇宁布依族苗族自治县税务局”，你单位以增值税留抵退税方式取得的411,336.97元由贵州省镇宁布依族苗族自治县人民法院追缴，因你单位为非正常状态，税款无法返还国家税务总局镇宁布依族苗族自治县税务局，现通过本次稽查查补方式返还。同时，我局向你单位追缴2020年至2021年少缴的增值税696,485.49元。</w:t>
      </w:r>
    </w:p>
    <w:p w14:paraId="55F29130">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2.城市维护建设税</w:t>
      </w:r>
    </w:p>
    <w:p w14:paraId="0FD11150">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根据《中华人民共和国城市维护建设税暂行条例》</w:t>
      </w:r>
      <w:r>
        <w:rPr>
          <w:rFonts w:hint="eastAsia" w:ascii="仿宋_GB2312" w:hAnsi="宋体" w:eastAsia="仿宋_GB2312" w:cs="宋体"/>
          <w:kern w:val="0"/>
          <w:sz w:val="32"/>
          <w:szCs w:val="32"/>
          <w:highlight w:val="none"/>
          <w:lang w:val="en-US" w:eastAsia="zh-CN"/>
        </w:rPr>
        <w:t>第二条“凡缴纳消费税、增值税、营业税的单位和个人，都是城市维护建设税的纳税义务人（以下简称纳税人），都应当依照本条例的规定缴纳城市维护建设税”、</w:t>
      </w:r>
      <w:r>
        <w:rPr>
          <w:rFonts w:hint="eastAsia" w:ascii="仿宋_GB2312" w:hAnsi="仿宋_GB2312" w:eastAsia="仿宋_GB2312" w:cs="仿宋_GB2312"/>
          <w:sz w:val="32"/>
          <w:szCs w:val="32"/>
          <w:highlight w:val="none"/>
          <w:lang w:val="en-US" w:eastAsia="zh-CN"/>
        </w:rPr>
        <w:t>第三条“城市维护建设税，以纳税人实际缴纳的消费税、增值税、营业税税额为计税依据，分别与消费税、增值税、营业税同时缴纳。”、第四条“城市维护建设税税率如下：……纳税人所在地在县城、镇的，税率为5%……”、《中华人民共和国城市维护建设税法》（中华人民共和国主席令第五十一号）第一条“在中华人民共和国境内缴纳增值税、消费税的单位和个人，为城市维护建设税的纳税人，应当依照本法规定缴纳城市维护建设税。”、第二条第一款“城市维护建设税以纳税人依法实际缴纳的增值税、消费税税额为计税依据。”、第四条“城市维护建设税税率如下：……(二)纳税人所在地在县城、镇的，税率为百分之五……”、《贵州省财政厅 国家税务总局贵州省税务局关于进一步实施“六税两费”减免政策的通知》（黔财税〔2022〕8号）第一条“对增值税小规模纳税人继续按50%的税额减征资源税、城市维护建设税、房产税、城镇土地使用税、印花税（不含证券交易印花税）、耕地占用税和教育费附加、地方教育附加（简称“六税两费”）；同时，将小型微利企业和个体工商户纳入政策适用范围，即按50%的税额减征“六税两费”。”、第三条“本通知执行期限为2022年1月1日至2024年12月31日。”之规定，你单位2022年城市维护建设税、教育费附加、地方教育附加可按50%的税额减征。你单位应就少缴的增值税</w:t>
      </w:r>
      <w:r>
        <w:rPr>
          <w:rFonts w:hint="eastAsia" w:ascii="仿宋" w:hAnsi="仿宋" w:eastAsia="仿宋" w:cs="仿宋"/>
          <w:sz w:val="32"/>
          <w:szCs w:val="32"/>
          <w:highlight w:val="none"/>
          <w:lang w:val="en-US" w:eastAsia="zh-CN"/>
        </w:rPr>
        <w:t>696,485.49元补缴城市维护建设税</w:t>
      </w:r>
      <w:r>
        <w:rPr>
          <w:rFonts w:hint="eastAsia" w:ascii="仿宋" w:hAnsi="仿宋" w:eastAsia="仿宋" w:cs="仿宋"/>
          <w:color w:val="auto"/>
          <w:sz w:val="32"/>
          <w:szCs w:val="32"/>
          <w:highlight w:val="none"/>
          <w:lang w:val="en-US" w:eastAsia="zh-CN"/>
        </w:rPr>
        <w:t>34,824.28元；你单位利用取得的留抵退税款411,336.97元抵减2021年9月至2022年3月的城市维护建设税计税依据411,336.97元，造成少缴城市维护建设税15,195.38元。</w:t>
      </w:r>
    </w:p>
    <w:p w14:paraId="51F9364D">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综上，应追缴你单位</w:t>
      </w:r>
      <w:r>
        <w:rPr>
          <w:rFonts w:hint="default" w:ascii="仿宋" w:hAnsi="仿宋" w:eastAsia="仿宋" w:cs="仿宋"/>
          <w:color w:val="auto"/>
          <w:sz w:val="32"/>
          <w:szCs w:val="32"/>
          <w:highlight w:val="none"/>
          <w:lang w:val="en-US" w:eastAsia="zh-CN"/>
        </w:rPr>
        <w:t>2020年至202</w:t>
      </w: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lang w:val="en-US" w:eastAsia="zh-CN"/>
        </w:rPr>
        <w:t>少缴的城市维护建设税50,019.66元。</w:t>
      </w:r>
    </w:p>
    <w:p w14:paraId="3806E95F">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sz w:val="32"/>
          <w:szCs w:val="32"/>
          <w:highlight w:val="none"/>
          <w:lang w:val="en-US" w:eastAsia="zh-CN"/>
        </w:rPr>
        <w:t>企业所得税</w:t>
      </w:r>
    </w:p>
    <w:p w14:paraId="0ADC3B1E">
      <w:pPr>
        <w:pStyle w:val="2"/>
        <w:keepNext w:val="0"/>
        <w:keepLines w:val="0"/>
        <w:pageBreakBefore w:val="0"/>
        <w:widowControl w:val="0"/>
        <w:kinsoku/>
        <w:wordWrap/>
        <w:overflowPunct/>
        <w:topLinePunct w:val="0"/>
        <w:autoSpaceDE/>
        <w:autoSpaceDN/>
        <w:bidi w:val="0"/>
        <w:adjustRightInd/>
        <w:snapToGrid/>
        <w:spacing w:line="558"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根据《中华人民共和国企业所得税法》第八条“企业实际发生的与取得收入有关的、合理的支出，包括成本、费用、税金、损失和其他支出，准予在计算应纳税所得额时扣除。”</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第十条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在计算应纳税所得额时，下列支出不得扣除：</w:t>
      </w:r>
      <w:r>
        <w:rPr>
          <w:rFonts w:hint="eastAsia" w:ascii="仿宋" w:hAnsi="仿宋" w:eastAsia="仿宋" w:cs="仿宋"/>
          <w:sz w:val="32"/>
          <w:szCs w:val="32"/>
          <w:highlight w:val="none"/>
          <w:lang w:eastAsia="zh-CN"/>
        </w:rPr>
        <w:t>……(八)与取得收入无关的其他支出。”、</w:t>
      </w:r>
      <w:r>
        <w:rPr>
          <w:rFonts w:hint="eastAsia" w:ascii="仿宋" w:hAnsi="仿宋" w:eastAsia="仿宋" w:cs="仿宋"/>
          <w:sz w:val="32"/>
          <w:szCs w:val="32"/>
          <w:highlight w:val="none"/>
        </w:rPr>
        <w:t>《企业所得税税前扣除凭证管理办法》第十二条“企业取得私自印制、伪造、变造、作废、开票方非法取得、虚开、填写不规范等不符合规定的发票(以下简称“不合规发票”)，以及取得不符合国家法律、法规等相关规定的其他外部凭证(以下简称“不合规其他外部凭证”)，不得作为税前扣除凭证。”之规定，</w:t>
      </w:r>
      <w:r>
        <w:rPr>
          <w:rFonts w:hint="eastAsia" w:ascii="仿宋" w:hAnsi="仿宋" w:eastAsia="仿宋" w:cs="仿宋"/>
          <w:sz w:val="32"/>
          <w:szCs w:val="32"/>
          <w:highlight w:val="none"/>
          <w:lang w:eastAsia="zh-CN"/>
        </w:rPr>
        <w:t>你单位用</w:t>
      </w:r>
      <w:r>
        <w:rPr>
          <w:rFonts w:hint="eastAsia" w:ascii="仿宋" w:hAnsi="仿宋" w:eastAsia="仿宋" w:cs="仿宋"/>
          <w:sz w:val="32"/>
          <w:szCs w:val="32"/>
          <w:highlight w:val="none"/>
        </w:rPr>
        <w:t>贵州宏翼翔汽车销售服务有限公司、安顺润亨化工贸易有限公司</w:t>
      </w:r>
      <w:r>
        <w:rPr>
          <w:rFonts w:hint="eastAsia" w:ascii="仿宋" w:hAnsi="仿宋" w:eastAsia="仿宋" w:cs="仿宋"/>
          <w:sz w:val="32"/>
          <w:szCs w:val="32"/>
          <w:highlight w:val="none"/>
          <w:lang w:eastAsia="zh-CN"/>
        </w:rPr>
        <w:t>开具</w:t>
      </w:r>
      <w:r>
        <w:rPr>
          <w:rFonts w:hint="eastAsia" w:ascii="仿宋" w:hAnsi="仿宋" w:eastAsia="仿宋" w:cs="仿宋"/>
          <w:sz w:val="32"/>
          <w:szCs w:val="32"/>
          <w:highlight w:val="none"/>
        </w:rPr>
        <w:t>的上述虚开发票在账簿上</w:t>
      </w:r>
      <w:r>
        <w:rPr>
          <w:rFonts w:hint="eastAsia" w:ascii="仿宋" w:hAnsi="仿宋" w:eastAsia="仿宋" w:cs="仿宋"/>
          <w:sz w:val="32"/>
          <w:szCs w:val="32"/>
          <w:highlight w:val="none"/>
          <w:lang w:eastAsia="zh-CN"/>
        </w:rPr>
        <w:t>列支的成本</w:t>
      </w:r>
      <w:r>
        <w:rPr>
          <w:rFonts w:hint="eastAsia" w:ascii="仿宋" w:hAnsi="仿宋" w:eastAsia="仿宋" w:cs="仿宋"/>
          <w:sz w:val="32"/>
          <w:szCs w:val="32"/>
          <w:highlight w:val="none"/>
        </w:rPr>
        <w:t>不得在企业所得税税前扣除。2020年应调增应纳税所得额8,786,145.74元，2021年应调增应纳税所得额3,773,269.03元。</w:t>
      </w:r>
    </w:p>
    <w:p w14:paraId="51A32874">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根据《中华人民共和国企业所得税法》第八条“企业实际发生的与取得收入有关的、合理的支出，包括成本、费用、税金、损失和其他支出，准予在计算应纳税所得额时扣除。”、《中华人民共和国企业所得税法实施条例》第三十一条“企业所得税法第八条所称税金，是指企业发生的除企业所得税和允许抵扣的增值税以外的各项税金及其附加。”之规定，</w:t>
      </w:r>
      <w:r>
        <w:rPr>
          <w:rFonts w:hint="eastAsia" w:ascii="仿宋" w:hAnsi="仿宋" w:eastAsia="仿宋" w:cs="仿宋"/>
          <w:sz w:val="32"/>
          <w:szCs w:val="32"/>
          <w:highlight w:val="none"/>
        </w:rPr>
        <w:t>本次稽查</w:t>
      </w:r>
      <w:r>
        <w:rPr>
          <w:rFonts w:hint="eastAsia" w:ascii="仿宋" w:hAnsi="仿宋" w:eastAsia="仿宋" w:cs="仿宋"/>
          <w:sz w:val="32"/>
          <w:szCs w:val="32"/>
          <w:highlight w:val="none"/>
          <w:lang w:eastAsia="zh-CN"/>
        </w:rPr>
        <w:t>你单位</w:t>
      </w:r>
      <w:r>
        <w:rPr>
          <w:rFonts w:hint="eastAsia" w:ascii="仿宋" w:hAnsi="仿宋" w:eastAsia="仿宋" w:cs="仿宋"/>
          <w:sz w:val="32"/>
          <w:szCs w:val="32"/>
          <w:highlight w:val="none"/>
        </w:rPr>
        <w:t>2020年应补缴的城市维护建设税</w:t>
      </w:r>
      <w:r>
        <w:rPr>
          <w:rFonts w:hint="eastAsia" w:ascii="仿宋" w:hAnsi="仿宋" w:eastAsia="仿宋" w:cs="仿宋"/>
          <w:color w:val="auto"/>
          <w:sz w:val="32"/>
          <w:szCs w:val="32"/>
          <w:highlight w:val="none"/>
          <w:lang w:val="en-US" w:eastAsia="zh-CN"/>
        </w:rPr>
        <w:t>20,172.19元、</w:t>
      </w:r>
      <w:r>
        <w:rPr>
          <w:rFonts w:hint="eastAsia" w:ascii="仿宋" w:hAnsi="仿宋" w:eastAsia="仿宋" w:cs="仿宋"/>
          <w:sz w:val="32"/>
          <w:szCs w:val="32"/>
          <w:highlight w:val="none"/>
        </w:rPr>
        <w:t>教育费附加</w:t>
      </w:r>
      <w:r>
        <w:rPr>
          <w:rFonts w:hint="eastAsia" w:ascii="仿宋" w:hAnsi="仿宋" w:eastAsia="仿宋" w:cs="仿宋"/>
          <w:sz w:val="32"/>
          <w:szCs w:val="32"/>
          <w:highlight w:val="none"/>
          <w:lang w:val="en-US" w:eastAsia="zh-CN"/>
        </w:rPr>
        <w:t>12,103.32元、</w:t>
      </w:r>
      <w:r>
        <w:rPr>
          <w:rFonts w:hint="eastAsia" w:ascii="仿宋" w:hAnsi="仿宋" w:eastAsia="仿宋" w:cs="仿宋"/>
          <w:sz w:val="32"/>
          <w:szCs w:val="32"/>
          <w:highlight w:val="none"/>
        </w:rPr>
        <w:t>地方教育附加</w:t>
      </w:r>
      <w:r>
        <w:rPr>
          <w:rFonts w:hint="eastAsia" w:ascii="仿宋" w:hAnsi="仿宋" w:eastAsia="仿宋" w:cs="仿宋"/>
          <w:sz w:val="32"/>
          <w:szCs w:val="32"/>
          <w:highlight w:val="none"/>
          <w:lang w:val="en-US" w:eastAsia="zh-CN"/>
        </w:rPr>
        <w:t>8,068.88元、</w:t>
      </w:r>
      <w:r>
        <w:rPr>
          <w:rFonts w:hint="eastAsia" w:ascii="仿宋" w:hAnsi="仿宋" w:eastAsia="仿宋" w:cs="仿宋"/>
          <w:sz w:val="32"/>
          <w:szCs w:val="32"/>
          <w:highlight w:val="none"/>
        </w:rPr>
        <w:t>印花税95.2</w:t>
      </w:r>
      <w:r>
        <w:rPr>
          <w:rFonts w:ascii="仿宋" w:hAnsi="仿宋" w:eastAsia="仿宋" w:cs="仿宋"/>
          <w:sz w:val="32"/>
          <w:szCs w:val="32"/>
          <w:highlight w:val="none"/>
        </w:rPr>
        <w:t>0</w:t>
      </w:r>
      <w:r>
        <w:rPr>
          <w:rFonts w:hint="eastAsia" w:ascii="仿宋" w:hAnsi="仿宋" w:eastAsia="仿宋" w:cs="仿宋"/>
          <w:sz w:val="32"/>
          <w:szCs w:val="32"/>
          <w:highlight w:val="none"/>
        </w:rPr>
        <w:t>元准予在企业所得税前扣除，</w:t>
      </w:r>
      <w:r>
        <w:rPr>
          <w:rFonts w:ascii="仿宋" w:hAnsi="仿宋" w:eastAsia="仿宋" w:cs="仿宋"/>
          <w:sz w:val="32"/>
          <w:szCs w:val="32"/>
          <w:highlight w:val="none"/>
        </w:rPr>
        <w:t>应</w:t>
      </w:r>
      <w:r>
        <w:rPr>
          <w:rFonts w:hint="eastAsia" w:ascii="仿宋" w:hAnsi="仿宋" w:eastAsia="仿宋" w:cs="仿宋"/>
          <w:sz w:val="32"/>
          <w:szCs w:val="32"/>
          <w:highlight w:val="none"/>
        </w:rPr>
        <w:t>调减2020年企业所得税应纳税所得额40,439.5</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元；2021年应补缴</w:t>
      </w:r>
      <w:r>
        <w:rPr>
          <w:rFonts w:ascii="仿宋" w:hAnsi="仿宋" w:eastAsia="仿宋" w:cs="仿宋"/>
          <w:sz w:val="32"/>
          <w:szCs w:val="32"/>
          <w:highlight w:val="none"/>
        </w:rPr>
        <w:t>的</w:t>
      </w:r>
      <w:r>
        <w:rPr>
          <w:rFonts w:hint="eastAsia" w:ascii="仿宋" w:hAnsi="仿宋" w:eastAsia="仿宋" w:cs="仿宋"/>
          <w:sz w:val="32"/>
          <w:szCs w:val="32"/>
          <w:highlight w:val="none"/>
        </w:rPr>
        <w:t>城市维护建设税</w:t>
      </w:r>
      <w:r>
        <w:rPr>
          <w:rFonts w:hint="eastAsia" w:ascii="仿宋" w:hAnsi="仿宋" w:eastAsia="仿宋" w:cs="仿宋"/>
          <w:color w:val="auto"/>
          <w:sz w:val="32"/>
          <w:szCs w:val="32"/>
          <w:highlight w:val="none"/>
          <w:lang w:val="en-US" w:eastAsia="zh-CN"/>
        </w:rPr>
        <w:t>24,475.99元</w:t>
      </w:r>
      <w:r>
        <w:rPr>
          <w:rFonts w:hint="eastAsia" w:ascii="仿宋" w:hAnsi="仿宋" w:eastAsia="仿宋" w:cs="仿宋"/>
          <w:sz w:val="32"/>
          <w:szCs w:val="32"/>
          <w:highlight w:val="none"/>
        </w:rPr>
        <w:t>、教育费附加</w:t>
      </w:r>
      <w:r>
        <w:rPr>
          <w:rFonts w:hint="eastAsia" w:ascii="仿宋" w:hAnsi="仿宋" w:eastAsia="仿宋" w:cs="仿宋"/>
          <w:sz w:val="32"/>
          <w:szCs w:val="32"/>
          <w:highlight w:val="none"/>
          <w:lang w:val="en-US" w:eastAsia="zh-CN"/>
        </w:rPr>
        <w:t>14,685.58元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地方教育附加</w:t>
      </w:r>
      <w:r>
        <w:rPr>
          <w:rFonts w:hint="eastAsia" w:ascii="仿宋" w:hAnsi="仿宋" w:eastAsia="仿宋" w:cs="仿宋"/>
          <w:sz w:val="32"/>
          <w:szCs w:val="32"/>
          <w:highlight w:val="none"/>
          <w:lang w:val="en-US" w:eastAsia="zh-CN"/>
        </w:rPr>
        <w:t>9,790.39元</w:t>
      </w:r>
      <w:r>
        <w:rPr>
          <w:rFonts w:hint="eastAsia" w:ascii="仿宋" w:hAnsi="仿宋" w:eastAsia="仿宋" w:cs="仿宋"/>
          <w:sz w:val="32"/>
          <w:szCs w:val="32"/>
          <w:highlight w:val="none"/>
        </w:rPr>
        <w:t>、印花税</w:t>
      </w:r>
      <w:r>
        <w:rPr>
          <w:rFonts w:ascii="仿宋" w:hAnsi="仿宋" w:eastAsia="仿宋" w:cs="仿宋"/>
          <w:sz w:val="32"/>
          <w:szCs w:val="32"/>
          <w:highlight w:val="none"/>
        </w:rPr>
        <w:t>217.50</w:t>
      </w:r>
      <w:r>
        <w:rPr>
          <w:rFonts w:hint="eastAsia" w:ascii="仿宋" w:hAnsi="仿宋" w:eastAsia="仿宋" w:cs="仿宋"/>
          <w:sz w:val="32"/>
          <w:szCs w:val="32"/>
          <w:highlight w:val="none"/>
        </w:rPr>
        <w:t>元准予在企业所得税前扣除，</w:t>
      </w:r>
      <w:r>
        <w:rPr>
          <w:rFonts w:ascii="仿宋" w:hAnsi="仿宋" w:eastAsia="仿宋" w:cs="仿宋"/>
          <w:sz w:val="32"/>
          <w:szCs w:val="32"/>
          <w:highlight w:val="none"/>
        </w:rPr>
        <w:t>应</w:t>
      </w:r>
      <w:r>
        <w:rPr>
          <w:rFonts w:hint="eastAsia" w:ascii="仿宋" w:hAnsi="仿宋" w:eastAsia="仿宋" w:cs="仿宋"/>
          <w:sz w:val="32"/>
          <w:szCs w:val="32"/>
          <w:highlight w:val="none"/>
        </w:rPr>
        <w:t>调减202</w:t>
      </w:r>
      <w:r>
        <w:rPr>
          <w:rFonts w:ascii="仿宋" w:hAnsi="仿宋" w:eastAsia="仿宋" w:cs="仿宋"/>
          <w:sz w:val="32"/>
          <w:szCs w:val="32"/>
          <w:highlight w:val="none"/>
        </w:rPr>
        <w:t>1</w:t>
      </w:r>
      <w:r>
        <w:rPr>
          <w:rFonts w:hint="eastAsia" w:ascii="仿宋" w:hAnsi="仿宋" w:eastAsia="仿宋" w:cs="仿宋"/>
          <w:sz w:val="32"/>
          <w:szCs w:val="32"/>
          <w:highlight w:val="none"/>
        </w:rPr>
        <w:t xml:space="preserve">年企业所得税应纳税所得额 </w:t>
      </w:r>
      <w:r>
        <w:rPr>
          <w:rFonts w:hint="eastAsia" w:ascii="仿宋" w:hAnsi="仿宋" w:eastAsia="仿宋" w:cs="仿宋"/>
          <w:sz w:val="32"/>
          <w:szCs w:val="32"/>
          <w:highlight w:val="none"/>
          <w:lang w:val="en-US" w:eastAsia="zh-CN"/>
        </w:rPr>
        <w:t>49</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169</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p>
    <w:p w14:paraId="06527690">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综上，</w:t>
      </w:r>
      <w:r>
        <w:rPr>
          <w:rFonts w:hint="eastAsia" w:ascii="仿宋" w:hAnsi="仿宋" w:eastAsia="仿宋" w:cs="仿宋"/>
          <w:sz w:val="32"/>
          <w:szCs w:val="32"/>
          <w:highlight w:val="none"/>
          <w:lang w:val="en-US" w:eastAsia="zh-CN"/>
        </w:rPr>
        <w:t>你单位</w:t>
      </w:r>
      <w:r>
        <w:rPr>
          <w:rFonts w:hint="default" w:ascii="仿宋" w:hAnsi="仿宋" w:eastAsia="仿宋" w:cs="仿宋"/>
          <w:sz w:val="32"/>
          <w:szCs w:val="32"/>
          <w:highlight w:val="none"/>
          <w:lang w:val="en-US" w:eastAsia="zh-CN"/>
        </w:rPr>
        <w:t>2020年应调增企业所得税应纳税所得额8,745,706.1</w:t>
      </w: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US" w:eastAsia="zh-CN"/>
        </w:rPr>
        <w:t>元，</w:t>
      </w:r>
      <w:r>
        <w:rPr>
          <w:rFonts w:hint="eastAsia" w:ascii="仿宋" w:hAnsi="仿宋" w:eastAsia="仿宋" w:cs="仿宋"/>
          <w:sz w:val="32"/>
          <w:szCs w:val="32"/>
          <w:highlight w:val="none"/>
          <w:lang w:val="en-US" w:eastAsia="zh-CN"/>
        </w:rPr>
        <w:t>你单位</w:t>
      </w:r>
      <w:r>
        <w:rPr>
          <w:rFonts w:hint="default" w:ascii="仿宋" w:hAnsi="仿宋" w:eastAsia="仿宋" w:cs="仿宋"/>
          <w:sz w:val="32"/>
          <w:szCs w:val="32"/>
          <w:highlight w:val="none"/>
          <w:lang w:val="en-US" w:eastAsia="zh-CN"/>
        </w:rPr>
        <w:t>2020年自行申报的企业所得税纳税调整后所得额为-7,838,027.55元，调整后应纳税所得额为907,678.6</w:t>
      </w:r>
      <w:r>
        <w:rPr>
          <w:rFonts w:hint="eastAsia" w:ascii="仿宋" w:hAnsi="仿宋" w:eastAsia="仿宋" w:cs="仿宋"/>
          <w:sz w:val="32"/>
          <w:szCs w:val="32"/>
          <w:highlight w:val="none"/>
          <w:lang w:val="en-US" w:eastAsia="zh-CN"/>
        </w:rPr>
        <w:t>0</w:t>
      </w:r>
      <w:r>
        <w:rPr>
          <w:rFonts w:hint="default" w:ascii="仿宋" w:hAnsi="仿宋" w:eastAsia="仿宋" w:cs="仿宋"/>
          <w:sz w:val="32"/>
          <w:szCs w:val="32"/>
          <w:highlight w:val="none"/>
          <w:lang w:val="en-US" w:eastAsia="zh-CN"/>
        </w:rPr>
        <w:t>元。</w:t>
      </w:r>
    </w:p>
    <w:p w14:paraId="5B32E169">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2021年应调增企业所得税额3</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724</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099.57元，</w:t>
      </w:r>
      <w:r>
        <w:rPr>
          <w:rFonts w:hint="eastAsia" w:ascii="仿宋" w:hAnsi="仿宋" w:eastAsia="仿宋" w:cs="仿宋"/>
          <w:sz w:val="32"/>
          <w:szCs w:val="32"/>
          <w:highlight w:val="none"/>
          <w:lang w:val="en-US" w:eastAsia="zh-CN"/>
        </w:rPr>
        <w:t>你单位</w:t>
      </w:r>
      <w:r>
        <w:rPr>
          <w:rFonts w:hint="default" w:ascii="仿宋" w:hAnsi="仿宋" w:eastAsia="仿宋" w:cs="仿宋"/>
          <w:sz w:val="32"/>
          <w:szCs w:val="32"/>
          <w:highlight w:val="none"/>
          <w:lang w:val="en-US" w:eastAsia="zh-CN"/>
        </w:rPr>
        <w:t>申报纳税调整后所得额-2,944,080.58元，调整后应纳税所得额为780</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018.99元。</w:t>
      </w:r>
    </w:p>
    <w:p w14:paraId="75BD2613">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sz w:val="32"/>
          <w:szCs w:val="32"/>
          <w:highlight w:val="none"/>
          <w:lang w:val="en-US" w:eastAsia="zh-CN"/>
        </w:rPr>
        <w:t>根据《财政部 税务总局关于实施小微企业普惠性税收减免政策的通知》（财税〔2019〕13号）第二条“对小型微利企业年应纳税所得额不超过100万元的部分，减按25%计入应纳税所得额，按20%的税率缴纳企业所得税；对年应纳税所得额超过100万元但不超过300万元的部分，减按50%计入应纳税所得额，按20%的税率缴纳企业所得税。”、《财政部 税务总局关于实施小微企业和个体工商户所得税优惠政策的公告》（财政部 税务总局公告2021年第12号）第一条“对小型微利企业年应纳税所得额不超过100万元的部分，在《财政部 税务总局关于实施小微企业普惠性税收减免政策的通知》(财税〔2019〕13号)第二条规定的优惠政策基础上，再减半征收企业所得税。”之规定，</w:t>
      </w:r>
      <w:r>
        <w:rPr>
          <w:rFonts w:hint="eastAsia" w:ascii="仿宋" w:hAnsi="仿宋" w:eastAsia="仿宋" w:cs="仿宋"/>
          <w:sz w:val="32"/>
          <w:szCs w:val="32"/>
          <w:highlight w:val="none"/>
          <w:lang w:val="en-US" w:eastAsia="zh-CN"/>
        </w:rPr>
        <w:t>你单位2020年、2021年均属于小型微利企业，适用小微企业普惠性税收减免政策。你单位</w:t>
      </w:r>
      <w:r>
        <w:rPr>
          <w:rFonts w:hint="default" w:ascii="仿宋" w:hAnsi="仿宋" w:eastAsia="仿宋" w:cs="仿宋"/>
          <w:sz w:val="32"/>
          <w:szCs w:val="32"/>
          <w:highlight w:val="none"/>
          <w:lang w:val="en-US" w:eastAsia="zh-CN"/>
        </w:rPr>
        <w:t>2020年</w:t>
      </w:r>
      <w:r>
        <w:rPr>
          <w:rFonts w:hint="eastAsia" w:ascii="仿宋" w:hAnsi="仿宋" w:eastAsia="仿宋" w:cs="仿宋"/>
          <w:sz w:val="32"/>
          <w:szCs w:val="32"/>
          <w:highlight w:val="none"/>
          <w:lang w:val="en-US" w:eastAsia="zh-CN"/>
        </w:rPr>
        <w:t>至2021年共</w:t>
      </w:r>
      <w:r>
        <w:rPr>
          <w:rFonts w:hint="default" w:ascii="仿宋" w:hAnsi="仿宋" w:eastAsia="仿宋" w:cs="仿宋"/>
          <w:sz w:val="32"/>
          <w:szCs w:val="32"/>
          <w:highlight w:val="none"/>
          <w:lang w:val="en-US" w:eastAsia="zh-CN"/>
        </w:rPr>
        <w:t>应补缴企业所得税</w:t>
      </w:r>
      <w:r>
        <w:rPr>
          <w:rFonts w:hint="eastAsia" w:ascii="仿宋" w:hAnsi="仿宋" w:eastAsia="仿宋" w:cs="仿宋"/>
          <w:sz w:val="32"/>
          <w:szCs w:val="32"/>
          <w:highlight w:val="none"/>
          <w:lang w:val="en-US" w:eastAsia="zh-CN"/>
        </w:rPr>
        <w:t>64,884.41元</w:t>
      </w:r>
      <w:r>
        <w:rPr>
          <w:rFonts w:hint="default" w:ascii="仿宋" w:hAnsi="仿宋" w:eastAsia="仿宋" w:cs="仿宋"/>
          <w:sz w:val="32"/>
          <w:szCs w:val="32"/>
          <w:highlight w:val="none"/>
          <w:lang w:val="en-US" w:eastAsia="zh-CN"/>
        </w:rPr>
        <w:t>。</w:t>
      </w:r>
    </w:p>
    <w:p w14:paraId="25BA8285">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rPr>
        <w:t>根据《中华人民共和国行政处罚法》第二十九条“对当事人的同一个违法行为，不得给予两次以上罚款的行政处罚。同一个违法行为违反多个法律规范应当给予罚款处罚的，按照罚款数额高的规定处罚。”、第三十五条第二款“违法行为构成犯罪，人民法院判处罚金时，行政机关已经给予当事人罚款的，应当折抵相应罚金;行政机关尚未给予当事人罚款的，不再给予罚款。”</w:t>
      </w:r>
      <w:r>
        <w:rPr>
          <w:rFonts w:hint="eastAsia" w:ascii="仿宋" w:hAnsi="仿宋" w:eastAsia="仿宋" w:cs="仿宋"/>
          <w:sz w:val="32"/>
          <w:szCs w:val="32"/>
          <w:lang w:eastAsia="zh-CN"/>
        </w:rPr>
        <w:t>、</w:t>
      </w:r>
      <w:r>
        <w:rPr>
          <w:rFonts w:hint="default" w:ascii="仿宋" w:hAnsi="仿宋" w:eastAsia="仿宋" w:cs="Times New Roman"/>
          <w:color w:val="auto"/>
          <w:sz w:val="32"/>
          <w:szCs w:val="32"/>
          <w:highlight w:val="none"/>
          <w:lang w:val="en-US" w:eastAsia="zh-CN"/>
        </w:rPr>
        <w:t>《中华人民共和国发票管理办法》第三十五条</w:t>
      </w:r>
      <w:r>
        <w:rPr>
          <w:rFonts w:hint="eastAsia" w:ascii="仿宋" w:hAnsi="仿宋" w:eastAsia="仿宋" w:cs="Times New Roman"/>
          <w:color w:val="auto"/>
          <w:sz w:val="32"/>
          <w:szCs w:val="32"/>
          <w:highlight w:val="none"/>
          <w:lang w:val="en-US" w:eastAsia="zh-CN"/>
        </w:rPr>
        <w:t>第一款“</w:t>
      </w:r>
      <w:r>
        <w:rPr>
          <w:rFonts w:hint="default" w:ascii="仿宋" w:hAnsi="仿宋" w:eastAsia="仿宋" w:cs="Times New Roman"/>
          <w:color w:val="auto"/>
          <w:sz w:val="32"/>
          <w:szCs w:val="32"/>
          <w:highlight w:val="none"/>
          <w:lang w:val="en-US" w:eastAsia="zh-CN"/>
        </w:rPr>
        <w:t>违反本办法的规定虚开发票的，由税务机关没收违法所得；虚开金额在1万元以下的，可以并处5万元以下的罚款；虚开金额超过1万元的，并处5万元以上50万元以下的罚款；构成犯罪的，依法追究刑事责任。</w:t>
      </w:r>
      <w:r>
        <w:rPr>
          <w:rFonts w:hint="eastAsia" w:ascii="仿宋" w:hAnsi="仿宋" w:eastAsia="仿宋" w:cs="Times New Roman"/>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中华人民共和国税收征收管理法》第六十三条第一款“纳税人伪造、变造、隐匿、擅自销毁账簿、记账凭证，或者在账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国家税务总局关于纳税人取得虚开的增值税专用发票处理问题的通知》（国税发〔1997〕134号）第一条“受票方利用他人虚开的专用发票，向税务机关申报抵扣税款进行偷税的，应当依照《中华人民共和国税收征收管理法》及有关规定追缴税款，处以偷税数额五倍以下的罚款；进项税金大于销项税金的，还应当调减其留抵的进项税额。利用虚开的专用发票进行骗取出口退税的，应当依法追缴税款，处以骗税数额五倍以下的罚款。”、</w:t>
      </w:r>
      <w:r>
        <w:rPr>
          <w:rFonts w:hint="eastAsia" w:ascii="仿宋" w:hAnsi="仿宋" w:eastAsia="仿宋" w:cs="仿宋"/>
          <w:sz w:val="32"/>
          <w:szCs w:val="32"/>
        </w:rPr>
        <w:t>《西南区域税务行政处罚裁量基准》之规定，鉴于镇宁布依族苗族自治县人民法院已对你单位取得贵州宏翼翔汽车销售服务有限公司2020年8月虚开的6份增值税专用发票（金额460,177.02元，税额59,822.98元）以及取得安顺润亨化工贸易有限公司2020年9月至10月虚开的91份增值税专用发票（金额8,325,968.72元，税额1,047,999.48元）判处罚金人民币5万元，对该97份虚开增值税专用发票的行为不再给予罚款。对你单位取得安顺润亨化工贸易有限公司2021年12月虚开28份增值税专用发票以及2019年6月向贵州安顺家喻物业管理有限公司虚开1份增值税专用发票的行为，拟处以罚款200,000.00元。</w:t>
      </w:r>
      <w:r>
        <w:rPr>
          <w:rFonts w:hint="eastAsia" w:ascii="仿宋" w:hAnsi="仿宋" w:eastAsia="仿宋" w:cs="仿宋"/>
          <w:sz w:val="32"/>
          <w:szCs w:val="32"/>
          <w:lang w:eastAsia="zh-CN"/>
        </w:rPr>
        <w:t>同时，</w:t>
      </w:r>
      <w:r>
        <w:rPr>
          <w:rFonts w:hint="eastAsia" w:ascii="仿宋" w:hAnsi="仿宋" w:eastAsia="仿宋" w:cs="仿宋"/>
          <w:color w:val="auto"/>
          <w:sz w:val="32"/>
          <w:szCs w:val="32"/>
          <w:highlight w:val="none"/>
          <w:lang w:val="en-US" w:eastAsia="zh-CN"/>
        </w:rPr>
        <w:t>对你单位利用虚开增值税专用发票抵扣进项税额、列支成本造成少缴增值税</w:t>
      </w:r>
      <w:r>
        <w:rPr>
          <w:rFonts w:hint="default" w:ascii="仿宋" w:hAnsi="仿宋" w:eastAsia="仿宋" w:cs="仿宋"/>
          <w:sz w:val="32"/>
          <w:szCs w:val="32"/>
          <w:highlight w:val="none"/>
          <w:lang w:val="en-US" w:eastAsia="zh-CN"/>
        </w:rPr>
        <w:t>1,107,822.46</w:t>
      </w:r>
      <w:r>
        <w:rPr>
          <w:rFonts w:hint="eastAsia" w:ascii="仿宋" w:hAnsi="仿宋" w:eastAsia="仿宋" w:cs="仿宋"/>
          <w:color w:val="auto"/>
          <w:sz w:val="32"/>
          <w:szCs w:val="32"/>
          <w:highlight w:val="none"/>
          <w:lang w:val="en-US" w:eastAsia="zh-CN"/>
        </w:rPr>
        <w:t>元、城市维护建设税50,019.66元、企业所得税</w:t>
      </w:r>
      <w:r>
        <w:rPr>
          <w:rFonts w:hint="eastAsia" w:ascii="仿宋" w:hAnsi="仿宋" w:eastAsia="仿宋" w:cs="仿宋"/>
          <w:sz w:val="32"/>
          <w:szCs w:val="32"/>
          <w:highlight w:val="none"/>
          <w:lang w:val="en-US" w:eastAsia="zh-CN"/>
        </w:rPr>
        <w:t>64,884.41</w:t>
      </w:r>
      <w:r>
        <w:rPr>
          <w:rFonts w:hint="eastAsia" w:ascii="仿宋" w:hAnsi="仿宋" w:eastAsia="仿宋" w:cs="仿宋"/>
          <w:color w:val="auto"/>
          <w:sz w:val="32"/>
          <w:szCs w:val="32"/>
          <w:highlight w:val="none"/>
          <w:lang w:val="en-US" w:eastAsia="zh-CN"/>
        </w:rPr>
        <w:t>元的行为定性为偷税，但根据《中华人民共和国行政处罚法》第二十九条之规定，不再对你单位偷税行为进行处罚。</w:t>
      </w:r>
    </w:p>
    <w:p w14:paraId="69812158">
      <w:pPr>
        <w:pStyle w:val="2"/>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综上，对你单位拟处以罚款</w:t>
      </w:r>
      <w:r>
        <w:rPr>
          <w:rFonts w:hint="eastAsia" w:ascii="仿宋" w:hAnsi="仿宋" w:eastAsia="仿宋" w:cs="仿宋"/>
          <w:sz w:val="32"/>
          <w:szCs w:val="32"/>
        </w:rPr>
        <w:t>200,000.00元</w:t>
      </w:r>
      <w:r>
        <w:rPr>
          <w:rFonts w:hint="eastAsia" w:ascii="仿宋" w:hAnsi="仿宋" w:eastAsia="仿宋" w:cs="仿宋"/>
          <w:sz w:val="32"/>
          <w:szCs w:val="32"/>
          <w:lang w:eastAsia="zh-CN"/>
        </w:rPr>
        <w:t>。</w:t>
      </w:r>
    </w:p>
    <w:p w14:paraId="43E6A6CF">
      <w:pPr>
        <w:keepNext w:val="0"/>
        <w:keepLines w:val="0"/>
        <w:pageBreakBefore w:val="0"/>
        <w:widowControl w:val="0"/>
        <w:kinsoku/>
        <w:overflowPunct/>
        <w:topLinePunct w:val="0"/>
        <w:autoSpaceDE/>
        <w:autoSpaceDN/>
        <w:bidi w:val="0"/>
        <w:spacing w:line="558"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二、你单</w:t>
      </w:r>
      <w:r>
        <w:rPr>
          <w:rFonts w:hint="eastAsia" w:ascii="仿宋_GB2312" w:hAnsi="仿宋_GB2312" w:eastAsia="仿宋_GB2312" w:cs="仿宋_GB2312"/>
          <w:color w:val="000000"/>
          <w:sz w:val="32"/>
          <w:szCs w:val="32"/>
        </w:rPr>
        <w:t>位有陈述、申辩的权利。请在我局作出税务行政处罚决定之前，到我局进行陈述、申辩或自行提供陈述、申辩材料；逾期不进行陈述、申辩的，视同放弃权利。</w:t>
      </w:r>
    </w:p>
    <w:p w14:paraId="597ABB3A">
      <w:pPr>
        <w:keepNext w:val="0"/>
        <w:keepLines w:val="0"/>
        <w:pageBreakBefore w:val="0"/>
        <w:widowControl w:val="0"/>
        <w:kinsoku/>
        <w:overflowPunct/>
        <w:topLinePunct w:val="0"/>
        <w:autoSpaceDE/>
        <w:autoSpaceDN/>
        <w:bidi w:val="0"/>
        <w:spacing w:line="558"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若拟对你单位罚款10000元（含10000元）以上，或符合《中华人民共和国行政处罚法》第六十三条规定的其他情形的，你单位有要求听证的权利。可自收到本告知书之日起五个工作日内向我局书面提出听证申请；逾期不提出，视为放弃听证权利。</w:t>
      </w:r>
    </w:p>
    <w:p w14:paraId="27A5D661">
      <w:pPr>
        <w:pStyle w:val="2"/>
        <w:keepNext w:val="0"/>
        <w:keepLines w:val="0"/>
        <w:pageBreakBefore w:val="0"/>
        <w:widowControl w:val="0"/>
        <w:kinsoku/>
        <w:overflowPunct/>
        <w:topLinePunct w:val="0"/>
        <w:autoSpaceDE/>
        <w:autoSpaceDN/>
        <w:bidi w:val="0"/>
        <w:spacing w:line="558" w:lineRule="exact"/>
        <w:textAlignment w:val="auto"/>
        <w:rPr>
          <w:rFonts w:hint="eastAsia" w:eastAsia="仿宋_GB2312"/>
          <w:lang w:eastAsia="zh-CN"/>
        </w:rPr>
      </w:pPr>
      <w:r>
        <w:rPr>
          <w:rFonts w:hint="eastAsia" w:ascii="仿宋_GB2312" w:hAnsi="仿宋_GB2312" w:eastAsia="仿宋_GB2312" w:cs="仿宋_GB2312"/>
          <w:color w:val="000000"/>
          <w:sz w:val="32"/>
          <w:szCs w:val="32"/>
          <w:lang w:eastAsia="zh-CN"/>
        </w:rPr>
        <w:t>四、本《税务行政处罚事项告知书》（安市税稽罚告〔202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21</w:t>
      </w:r>
      <w:r>
        <w:rPr>
          <w:rFonts w:hint="eastAsia" w:ascii="仿宋_GB2312" w:hAnsi="仿宋_GB2312" w:eastAsia="仿宋_GB2312" w:cs="仿宋_GB2312"/>
          <w:color w:val="000000"/>
          <w:sz w:val="32"/>
          <w:szCs w:val="32"/>
          <w:highlight w:val="none"/>
          <w:lang w:eastAsia="zh-CN"/>
        </w:rPr>
        <w:t>号</w:t>
      </w:r>
      <w:r>
        <w:rPr>
          <w:rFonts w:hint="eastAsia" w:ascii="仿宋_GB2312" w:hAnsi="仿宋_GB2312" w:eastAsia="仿宋_GB2312" w:cs="仿宋_GB2312"/>
          <w:color w:val="000000"/>
          <w:sz w:val="32"/>
          <w:szCs w:val="32"/>
          <w:lang w:eastAsia="zh-CN"/>
        </w:rPr>
        <w:t>）自送达之日起生效，我局202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日向你单位送达的《税务行政处罚事项告知书》（安市税稽罚告〔202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号）同时作废。</w:t>
      </w:r>
    </w:p>
    <w:p w14:paraId="54BB3028">
      <w:pPr>
        <w:keepNext w:val="0"/>
        <w:keepLines w:val="0"/>
        <w:pageBreakBefore w:val="0"/>
        <w:widowControl w:val="0"/>
        <w:kinsoku/>
        <w:overflowPunct/>
        <w:topLinePunct w:val="0"/>
        <w:autoSpaceDE/>
        <w:autoSpaceDN/>
        <w:bidi w:val="0"/>
        <w:spacing w:line="558" w:lineRule="exact"/>
        <w:ind w:firstLine="600"/>
        <w:textAlignment w:val="auto"/>
        <w:rPr>
          <w:rFonts w:ascii="仿宋_GB2312" w:hAnsi="仿宋_GB2312" w:eastAsia="仿宋_GB2312" w:cs="仿宋_GB2312"/>
          <w:color w:val="000000"/>
          <w:sz w:val="32"/>
          <w:szCs w:val="32"/>
        </w:rPr>
      </w:pPr>
    </w:p>
    <w:p w14:paraId="6D2F9BBD">
      <w:pPr>
        <w:keepNext w:val="0"/>
        <w:keepLines w:val="0"/>
        <w:pageBreakBefore w:val="0"/>
        <w:widowControl w:val="0"/>
        <w:kinsoku/>
        <w:overflowPunct/>
        <w:topLinePunct w:val="0"/>
        <w:autoSpaceDE/>
        <w:autoSpaceDN/>
        <w:bidi w:val="0"/>
        <w:spacing w:line="558" w:lineRule="exact"/>
        <w:ind w:firstLine="600"/>
        <w:textAlignment w:val="auto"/>
        <w:rPr>
          <w:rFonts w:ascii="仿宋_GB2312" w:hAnsi="仿宋_GB2312" w:eastAsia="仿宋_GB2312" w:cs="仿宋_GB2312"/>
          <w:color w:val="000000"/>
          <w:sz w:val="32"/>
          <w:szCs w:val="32"/>
        </w:rPr>
      </w:pPr>
    </w:p>
    <w:p w14:paraId="7D8565AE">
      <w:pPr>
        <w:pStyle w:val="8"/>
        <w:keepNext w:val="0"/>
        <w:keepLines w:val="0"/>
        <w:pageBreakBefore w:val="0"/>
        <w:widowControl w:val="0"/>
        <w:kinsoku/>
        <w:overflowPunct/>
        <w:topLinePunct w:val="0"/>
        <w:autoSpaceDE/>
        <w:autoSpaceDN/>
        <w:bidi w:val="0"/>
        <w:adjustRightInd/>
        <w:spacing w:line="558" w:lineRule="exact"/>
        <w:jc w:val="center"/>
        <w:textAlignment w:val="auto"/>
        <w:rPr>
          <w:rFonts w:hint="default" w:ascii="仿宋_GB2312" w:hAnsi="仿宋_GB2312" w:eastAsia="仿宋_GB2312" w:cs="仿宋_GB2312"/>
          <w:color w:val="000000"/>
          <w:sz w:val="32"/>
          <w:szCs w:val="32"/>
        </w:rPr>
      </w:pPr>
    </w:p>
    <w:p w14:paraId="0C1BD7DE">
      <w:pPr>
        <w:pStyle w:val="8"/>
        <w:keepNext w:val="0"/>
        <w:keepLines w:val="0"/>
        <w:pageBreakBefore w:val="0"/>
        <w:widowControl w:val="0"/>
        <w:kinsoku/>
        <w:overflowPunct/>
        <w:topLinePunct w:val="0"/>
        <w:autoSpaceDE/>
        <w:autoSpaceDN/>
        <w:bidi w:val="0"/>
        <w:adjustRightInd/>
        <w:spacing w:line="558" w:lineRule="exact"/>
        <w:jc w:val="center"/>
        <w:textAlignment w:val="auto"/>
        <w:rPr>
          <w:rFonts w:hint="default" w:ascii="仿宋_GB2312" w:hAnsi="仿宋_GB2312" w:eastAsia="仿宋_GB2312" w:cs="仿宋_GB2312"/>
          <w:color w:val="000000"/>
          <w:sz w:val="32"/>
          <w:szCs w:val="32"/>
        </w:rPr>
      </w:pPr>
    </w:p>
    <w:p w14:paraId="7E232268">
      <w:pPr>
        <w:pStyle w:val="8"/>
        <w:keepNext w:val="0"/>
        <w:keepLines w:val="0"/>
        <w:pageBreakBefore w:val="0"/>
        <w:widowControl w:val="0"/>
        <w:kinsoku/>
        <w:overflowPunct/>
        <w:topLinePunct w:val="0"/>
        <w:autoSpaceDE/>
        <w:autoSpaceDN/>
        <w:bidi w:val="0"/>
        <w:adjustRightInd/>
        <w:spacing w:line="558" w:lineRule="exact"/>
        <w:jc w:val="center"/>
        <w:textAlignment w:val="auto"/>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 w:eastAsia="仿宋_GB2312" w:cs="宋体"/>
          <w:b w:val="0"/>
          <w:kern w:val="2"/>
          <w:sz w:val="32"/>
          <w:szCs w:val="32"/>
          <w:lang w:val="en-US" w:eastAsia="zh-CN" w:bidi="ar-SA"/>
        </w:rPr>
        <w:t>国家税务总局安顺市税务局稽查局</w:t>
      </w:r>
      <w:r>
        <w:rPr>
          <w:rFonts w:ascii="仿宋_GB2312" w:hAnsi="仿宋_GB2312" w:eastAsia="仿宋_GB2312" w:cs="仿宋_GB2312"/>
          <w:color w:val="000000"/>
          <w:sz w:val="32"/>
          <w:szCs w:val="32"/>
        </w:rPr>
        <w:t xml:space="preserve">                       </w:t>
      </w:r>
    </w:p>
    <w:p w14:paraId="3A17C6C8">
      <w:pPr>
        <w:pStyle w:val="2"/>
        <w:keepNext w:val="0"/>
        <w:keepLines w:val="0"/>
        <w:pageBreakBefore w:val="0"/>
        <w:widowControl w:val="0"/>
        <w:kinsoku/>
        <w:overflowPunct/>
        <w:topLinePunct w:val="0"/>
        <w:autoSpaceDE/>
        <w:autoSpaceDN/>
        <w:bidi w:val="0"/>
        <w:spacing w:line="558" w:lineRule="exact"/>
        <w:ind w:firstLine="4160" w:firstLineChars="1300"/>
        <w:jc w:val="both"/>
        <w:textAlignment w:val="auto"/>
        <w:rPr>
          <w:rFonts w:ascii="仿宋_GB2312" w:hAnsi="仿宋_GB2312" w:eastAsia="仿宋_GB2312" w:cs="仿宋_GB2312"/>
          <w:color w:val="000000"/>
          <w:sz w:val="32"/>
          <w:szCs w:val="32"/>
        </w:rPr>
      </w:pPr>
      <w:r>
        <w:rPr>
          <w:rFonts w:hint="eastAsia" w:ascii="仿宋_GB2312" w:hAnsi="Arial" w:eastAsia="仿宋_GB2312"/>
          <w:kern w:val="0"/>
          <w:sz w:val="32"/>
          <w:szCs w:val="32"/>
        </w:rPr>
        <w:t>二</w:t>
      </w:r>
      <w:r>
        <w:rPr>
          <w:rFonts w:hint="eastAsia" w:ascii="仿宋_GB2312" w:hAnsi="宋体" w:eastAsia="仿宋_GB2312" w:cs="宋体"/>
          <w:kern w:val="0"/>
          <w:sz w:val="32"/>
          <w:szCs w:val="32"/>
        </w:rPr>
        <w:t>○</w:t>
      </w:r>
      <w:r>
        <w:rPr>
          <w:rFonts w:hint="eastAsia" w:ascii="仿宋_GB2312" w:hAnsi="Arial" w:eastAsia="仿宋_GB2312"/>
          <w:kern w:val="0"/>
          <w:sz w:val="32"/>
          <w:szCs w:val="32"/>
        </w:rPr>
        <w:t>二五年</w:t>
      </w:r>
      <w:r>
        <w:rPr>
          <w:rFonts w:hint="eastAsia" w:ascii="仿宋_GB2312" w:hAnsi="Arial" w:eastAsia="仿宋_GB2312"/>
          <w:kern w:val="0"/>
          <w:sz w:val="32"/>
          <w:szCs w:val="32"/>
          <w:highlight w:val="none"/>
          <w:lang w:eastAsia="zh-CN"/>
        </w:rPr>
        <w:t>十二</w:t>
      </w:r>
      <w:r>
        <w:rPr>
          <w:rFonts w:hint="eastAsia" w:ascii="仿宋_GB2312" w:hAnsi="Arial" w:eastAsia="仿宋_GB2312"/>
          <w:kern w:val="0"/>
          <w:sz w:val="32"/>
          <w:szCs w:val="32"/>
          <w:highlight w:val="none"/>
        </w:rPr>
        <w:t>月</w:t>
      </w:r>
      <w:r>
        <w:rPr>
          <w:rFonts w:hint="eastAsia" w:ascii="仿宋_GB2312" w:hAnsi="Arial" w:eastAsia="仿宋_GB2312"/>
          <w:kern w:val="0"/>
          <w:sz w:val="32"/>
          <w:szCs w:val="32"/>
          <w:highlight w:val="none"/>
          <w:lang w:eastAsia="zh-CN"/>
        </w:rPr>
        <w:t>九</w:t>
      </w:r>
      <w:r>
        <w:rPr>
          <w:rFonts w:hint="eastAsia" w:ascii="仿宋_GB2312" w:hAnsi="Arial" w:eastAsia="仿宋_GB2312"/>
          <w:kern w:val="0"/>
          <w:sz w:val="32"/>
          <w:szCs w:val="32"/>
          <w:highlight w:val="none"/>
        </w:rPr>
        <w:t>日</w:t>
      </w:r>
    </w:p>
    <w:p w14:paraId="5314C2AE">
      <w:pPr>
        <w:pStyle w:val="2"/>
        <w:ind w:firstLine="0" w:firstLineChars="0"/>
        <w:rPr>
          <w:rFonts w:ascii="楷体_GB2312" w:hAnsi="楷体_GB2312" w:eastAsia="楷体_GB2312" w:cs="楷体_GB2312"/>
          <w:sz w:val="28"/>
          <w:szCs w:val="36"/>
        </w:rPr>
      </w:pPr>
    </w:p>
    <w:p w14:paraId="524E5F28">
      <w:pPr>
        <w:pStyle w:val="2"/>
        <w:ind w:firstLine="0" w:firstLineChars="0"/>
        <w:rPr>
          <w:rFonts w:ascii="楷体_GB2312" w:hAnsi="楷体_GB2312" w:eastAsia="楷体_GB2312" w:cs="楷体_GB2312"/>
          <w:sz w:val="28"/>
          <w:szCs w:val="36"/>
        </w:rPr>
      </w:pPr>
      <w:r>
        <w:rPr>
          <w:rFonts w:hint="eastAsia" w:ascii="楷体_GB2312" w:hAnsi="楷体_GB2312" w:eastAsia="楷体_GB2312" w:cs="楷体_GB2312"/>
          <w:sz w:val="28"/>
          <w:szCs w:val="36"/>
        </w:rPr>
        <w:t xml:space="preserve"> </w:t>
      </w:r>
    </w:p>
    <w:p w14:paraId="2969B1EE">
      <w:pPr>
        <w:pStyle w:val="2"/>
        <w:ind w:firstLine="0" w:firstLineChars="0"/>
        <w:rPr>
          <w:rFonts w:ascii="楷体_GB2312" w:hAnsi="楷体_GB2312" w:eastAsia="楷体_GB2312" w:cs="楷体_GB2312"/>
          <w:sz w:val="28"/>
          <w:szCs w:val="36"/>
        </w:rPr>
      </w:pPr>
    </w:p>
    <w:p w14:paraId="69EAF816">
      <w:pPr>
        <w:pStyle w:val="2"/>
        <w:ind w:firstLine="0" w:firstLineChars="0"/>
        <w:rPr>
          <w:rFonts w:ascii="楷体_GB2312" w:hAnsi="楷体_GB2312" w:eastAsia="楷体_GB2312" w:cs="楷体_GB2312"/>
          <w:sz w:val="28"/>
          <w:szCs w:val="36"/>
        </w:rPr>
      </w:pPr>
    </w:p>
    <w:p w14:paraId="0B26CADB">
      <w:pPr>
        <w:pStyle w:val="2"/>
        <w:ind w:firstLine="0" w:firstLineChars="0"/>
        <w:rPr>
          <w:rFonts w:ascii="楷体_GB2312" w:hAnsi="楷体_GB2312" w:eastAsia="楷体_GB2312" w:cs="楷体_GB2312"/>
          <w:sz w:val="28"/>
          <w:szCs w:val="36"/>
        </w:rPr>
      </w:pPr>
    </w:p>
    <w:p w14:paraId="41AAB924">
      <w:pPr>
        <w:pStyle w:val="2"/>
        <w:ind w:firstLine="0" w:firstLineChars="0"/>
        <w:rPr>
          <w:rFonts w:ascii="楷体_GB2312" w:hAnsi="楷体_GB2312" w:eastAsia="楷体_GB2312" w:cs="楷体_GB2312"/>
          <w:sz w:val="28"/>
          <w:szCs w:val="36"/>
        </w:rPr>
      </w:pPr>
    </w:p>
    <w:p w14:paraId="6F61C29E">
      <w:pPr>
        <w:pStyle w:val="2"/>
        <w:ind w:firstLine="0" w:firstLineChars="0"/>
        <w:rPr>
          <w:rFonts w:ascii="楷体_GB2312" w:hAnsi="楷体_GB2312" w:eastAsia="楷体_GB2312" w:cs="楷体_GB2312"/>
          <w:sz w:val="28"/>
          <w:szCs w:val="36"/>
        </w:rPr>
      </w:pPr>
    </w:p>
    <w:p w14:paraId="6027E883">
      <w:pPr>
        <w:pStyle w:val="2"/>
        <w:ind w:firstLine="0" w:firstLineChars="0"/>
        <w:rPr>
          <w:rFonts w:ascii="楷体_GB2312" w:hAnsi="楷体_GB2312" w:eastAsia="楷体_GB2312" w:cs="楷体_GB2312"/>
          <w:sz w:val="28"/>
          <w:szCs w:val="36"/>
        </w:rPr>
      </w:pPr>
    </w:p>
    <w:p w14:paraId="6B3109EC">
      <w:pPr>
        <w:pStyle w:val="2"/>
        <w:ind w:firstLine="0" w:firstLineChars="0"/>
        <w:rPr>
          <w:rFonts w:ascii="楷体_GB2312" w:hAnsi="楷体_GB2312" w:eastAsia="楷体_GB2312" w:cs="楷体_GB2312"/>
          <w:sz w:val="28"/>
          <w:szCs w:val="36"/>
        </w:rPr>
      </w:pPr>
    </w:p>
    <w:p w14:paraId="58B1B072">
      <w:pPr>
        <w:pStyle w:val="2"/>
        <w:ind w:firstLine="0" w:firstLineChars="0"/>
        <w:rPr>
          <w:rFonts w:ascii="楷体_GB2312" w:hAnsi="楷体_GB2312" w:eastAsia="楷体_GB2312" w:cs="楷体_GB2312"/>
          <w:sz w:val="28"/>
          <w:szCs w:val="36"/>
        </w:rPr>
      </w:pPr>
    </w:p>
    <w:p w14:paraId="3AB23728">
      <w:pPr>
        <w:pStyle w:val="2"/>
        <w:ind w:firstLine="0" w:firstLineChars="0"/>
        <w:rPr>
          <w:rFonts w:ascii="楷体_GB2312" w:hAnsi="楷体_GB2312" w:eastAsia="楷体_GB2312" w:cs="楷体_GB2312"/>
          <w:sz w:val="28"/>
          <w:szCs w:val="36"/>
        </w:rPr>
      </w:pPr>
    </w:p>
    <w:p w14:paraId="3F40A6E8">
      <w:pPr>
        <w:pStyle w:val="2"/>
        <w:ind w:firstLine="0" w:firstLineChars="0"/>
        <w:rPr>
          <w:rFonts w:ascii="仿宋_GB2312" w:hAnsi="仿宋_GB2312" w:eastAsia="仿宋_GB2312" w:cs="仿宋_GB2312"/>
          <w:color w:val="000000"/>
          <w:sz w:val="32"/>
          <w:szCs w:val="32"/>
        </w:rPr>
      </w:pPr>
      <w:r>
        <w:rPr>
          <w:rFonts w:hint="eastAsia" w:ascii="楷体_GB2312" w:hAnsi="楷体_GB2312" w:eastAsia="楷体_GB2312" w:cs="楷体_GB2312"/>
          <w:sz w:val="28"/>
          <w:szCs w:val="36"/>
        </w:rPr>
        <w:t xml:space="preserve">      </w:t>
      </w:r>
      <w:r>
        <w:rPr>
          <w:rFonts w:hint="eastAsia" w:ascii="楷体_GB2312" w:hAnsi="楷体_GB2312" w:eastAsia="楷体_GB2312" w:cs="楷体_GB2312"/>
          <w:sz w:val="28"/>
          <w:szCs w:val="36"/>
        </w:rPr>
        <w:drawing>
          <wp:inline distT="0" distB="0" distL="114300" distR="114300">
            <wp:extent cx="4238625" cy="1314450"/>
            <wp:effectExtent l="0" t="0" r="9525" b="0"/>
            <wp:docPr id="11" name="图片 11" descr="WXWorklocal_1725522663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XWorklocal_17255226634465"/>
                    <pic:cNvPicPr>
                      <a:picLocks noChangeAspect="1"/>
                    </pic:cNvPicPr>
                  </pic:nvPicPr>
                  <pic:blipFill>
                    <a:blip r:embed="rId5"/>
                    <a:stretch>
                      <a:fillRect/>
                    </a:stretch>
                  </pic:blipFill>
                  <pic:spPr>
                    <a:xfrm>
                      <a:off x="0" y="0"/>
                      <a:ext cx="4238625" cy="1314450"/>
                    </a:xfrm>
                    <a:prstGeom prst="rect">
                      <a:avLst/>
                    </a:prstGeom>
                  </pic:spPr>
                </pic:pic>
              </a:graphicData>
            </a:graphic>
          </wp:inline>
        </w:drawing>
      </w:r>
    </w:p>
    <w:p w14:paraId="5702E2D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A52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2ED44">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F52ED44">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64F33"/>
    <w:multiLevelType w:val="singleLevel"/>
    <w:tmpl w:val="F5564F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D8"/>
    <w:rsid w:val="000C5BDD"/>
    <w:rsid w:val="001444F1"/>
    <w:rsid w:val="00162C8A"/>
    <w:rsid w:val="00214F82"/>
    <w:rsid w:val="00244D7A"/>
    <w:rsid w:val="00253C53"/>
    <w:rsid w:val="0025402F"/>
    <w:rsid w:val="00274886"/>
    <w:rsid w:val="00277DE9"/>
    <w:rsid w:val="00323AEA"/>
    <w:rsid w:val="00325DD8"/>
    <w:rsid w:val="00357858"/>
    <w:rsid w:val="00393321"/>
    <w:rsid w:val="003A1EA5"/>
    <w:rsid w:val="003C6B4C"/>
    <w:rsid w:val="00433D2C"/>
    <w:rsid w:val="00434B92"/>
    <w:rsid w:val="00435036"/>
    <w:rsid w:val="00545A4A"/>
    <w:rsid w:val="005875F5"/>
    <w:rsid w:val="005904AE"/>
    <w:rsid w:val="005F05A9"/>
    <w:rsid w:val="006443D7"/>
    <w:rsid w:val="0065454B"/>
    <w:rsid w:val="006812D6"/>
    <w:rsid w:val="006C1AFF"/>
    <w:rsid w:val="00783738"/>
    <w:rsid w:val="007E1722"/>
    <w:rsid w:val="00862746"/>
    <w:rsid w:val="00885D82"/>
    <w:rsid w:val="00924A0F"/>
    <w:rsid w:val="00944176"/>
    <w:rsid w:val="009C33E4"/>
    <w:rsid w:val="00A5370C"/>
    <w:rsid w:val="00A61C9E"/>
    <w:rsid w:val="00A90002"/>
    <w:rsid w:val="00AB1FDF"/>
    <w:rsid w:val="00AF464B"/>
    <w:rsid w:val="00B36326"/>
    <w:rsid w:val="00B80CA0"/>
    <w:rsid w:val="00C03B6A"/>
    <w:rsid w:val="00C16FF5"/>
    <w:rsid w:val="00CA6233"/>
    <w:rsid w:val="00CF12C8"/>
    <w:rsid w:val="00D344DA"/>
    <w:rsid w:val="00D577AC"/>
    <w:rsid w:val="00D93729"/>
    <w:rsid w:val="00DA60DA"/>
    <w:rsid w:val="00DE50E9"/>
    <w:rsid w:val="00EC7C51"/>
    <w:rsid w:val="00EE20B0"/>
    <w:rsid w:val="00EE4FBF"/>
    <w:rsid w:val="00EF3EBE"/>
    <w:rsid w:val="00F30366"/>
    <w:rsid w:val="00F47A0E"/>
    <w:rsid w:val="00FC10ED"/>
    <w:rsid w:val="0166660F"/>
    <w:rsid w:val="078013B1"/>
    <w:rsid w:val="0A0D2DD4"/>
    <w:rsid w:val="0A440627"/>
    <w:rsid w:val="0A9D0FB2"/>
    <w:rsid w:val="0CC0554C"/>
    <w:rsid w:val="0D0F2714"/>
    <w:rsid w:val="0DE715B3"/>
    <w:rsid w:val="10280706"/>
    <w:rsid w:val="133B7510"/>
    <w:rsid w:val="13D23349"/>
    <w:rsid w:val="14286A92"/>
    <w:rsid w:val="14A27AEB"/>
    <w:rsid w:val="16C04106"/>
    <w:rsid w:val="16E5354B"/>
    <w:rsid w:val="18E47260"/>
    <w:rsid w:val="1D6648E7"/>
    <w:rsid w:val="1DB335CA"/>
    <w:rsid w:val="20072011"/>
    <w:rsid w:val="21CD5596"/>
    <w:rsid w:val="25BF72B1"/>
    <w:rsid w:val="26907FBF"/>
    <w:rsid w:val="2BF649F4"/>
    <w:rsid w:val="2E255B1A"/>
    <w:rsid w:val="310A7073"/>
    <w:rsid w:val="32413765"/>
    <w:rsid w:val="348C5711"/>
    <w:rsid w:val="350B2D5E"/>
    <w:rsid w:val="359A0BE4"/>
    <w:rsid w:val="39210DF6"/>
    <w:rsid w:val="3B4F283F"/>
    <w:rsid w:val="3B6B07F0"/>
    <w:rsid w:val="3C305A12"/>
    <w:rsid w:val="3F475621"/>
    <w:rsid w:val="410A65D0"/>
    <w:rsid w:val="419523F5"/>
    <w:rsid w:val="46893FBE"/>
    <w:rsid w:val="469E5B32"/>
    <w:rsid w:val="48411E02"/>
    <w:rsid w:val="490B556D"/>
    <w:rsid w:val="491F73AA"/>
    <w:rsid w:val="49A9798B"/>
    <w:rsid w:val="4A001F61"/>
    <w:rsid w:val="4A5C6514"/>
    <w:rsid w:val="4EAA4C70"/>
    <w:rsid w:val="504A1AE8"/>
    <w:rsid w:val="532D0497"/>
    <w:rsid w:val="538673F0"/>
    <w:rsid w:val="54577DFB"/>
    <w:rsid w:val="548C722D"/>
    <w:rsid w:val="561302EA"/>
    <w:rsid w:val="571302C4"/>
    <w:rsid w:val="58AA6606"/>
    <w:rsid w:val="5B191369"/>
    <w:rsid w:val="5BEB34D5"/>
    <w:rsid w:val="5D5763FD"/>
    <w:rsid w:val="5E2E64F9"/>
    <w:rsid w:val="5E5746F2"/>
    <w:rsid w:val="5E626929"/>
    <w:rsid w:val="617E6BE8"/>
    <w:rsid w:val="63461252"/>
    <w:rsid w:val="6559010D"/>
    <w:rsid w:val="673543DF"/>
    <w:rsid w:val="67CF796C"/>
    <w:rsid w:val="6E9B201E"/>
    <w:rsid w:val="6F48412C"/>
    <w:rsid w:val="70E860CF"/>
    <w:rsid w:val="72F55AB2"/>
    <w:rsid w:val="74CC3CAD"/>
    <w:rsid w:val="78941982"/>
    <w:rsid w:val="79DC3224"/>
    <w:rsid w:val="7F1523CC"/>
    <w:rsid w:val="7FB62FFA"/>
    <w:rsid w:val="7FFE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华文中宋"/>
      <w:bCs/>
      <w:kern w:val="44"/>
      <w:sz w:val="7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w1"/>
    <w:qFormat/>
    <w:uiPriority w:val="0"/>
    <w:pPr>
      <w:widowControl w:val="0"/>
      <w:adjustRightInd w:val="0"/>
      <w:spacing w:line="360" w:lineRule="atLeast"/>
    </w:pPr>
    <w:rPr>
      <w:rFonts w:hint="eastAsia" w:ascii="宋体" w:hAnsi="Times New Roman" w:eastAsia="宋体" w:cs="Times New Roman"/>
      <w:sz w:val="24"/>
      <w:lang w:val="en-US" w:eastAsia="zh-CN" w:bidi="ar-SA"/>
    </w:rPr>
  </w:style>
  <w:style w:type="character" w:customStyle="1" w:styleId="9">
    <w:name w:val="页眉 字符"/>
    <w:basedOn w:val="7"/>
    <w:link w:val="5"/>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7635</Words>
  <Characters>9005</Characters>
  <Lines>39</Lines>
  <Paragraphs>11</Paragraphs>
  <TotalTime>17</TotalTime>
  <ScaleCrop>false</ScaleCrop>
  <LinksUpToDate>false</LinksUpToDate>
  <CharactersWithSpaces>9062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2025-02-27T06:42:00Z</dcterms:created>
  <dc:creator>assw</dc:creator>
  <cp:lastModifiedBy>Sunflower</cp:lastModifiedBy>
  <cp:lastPrinted>2025-12-09T01:01:00Z</cp:lastPrinted>
  <dcterms:modified xsi:type="dcterms:W3CDTF">2025-12-09T08:41:58Z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eyJoZGlkIjoiMjFmNTU0YWQ4YWYwNTgzMzhlMzZhYmJiMzc0ZTY5ZmIiLCJ1c2VySWQiOiI4NDg2MDUyNjYifQ==</vt:lpwstr>
  </property>
  <property fmtid="{D5CDD505-2E9C-101B-9397-08002B2CF9AE}" pid="4" name="ICV">
    <vt:lpwstr>F9E17FB18CE645769A0281C449B0DA91_13</vt:lpwstr>
  </property>
</Properties>
</file>